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1F5742" w14:textId="77777777" w:rsidR="00173F5F" w:rsidRDefault="00173F5F"/>
    <w:tbl>
      <w:tblPr>
        <w:tblpPr w:leftFromText="180" w:rightFromText="180" w:horzAnchor="margin" w:tblpY="-871"/>
        <w:tblW w:w="7995" w:type="dxa"/>
        <w:tblLayout w:type="fixed"/>
        <w:tblCellMar>
          <w:left w:w="0" w:type="dxa"/>
          <w:right w:w="0" w:type="dxa"/>
        </w:tblCellMar>
        <w:tblLook w:val="0000" w:firstRow="0" w:lastRow="0" w:firstColumn="0" w:lastColumn="0" w:noHBand="0" w:noVBand="0"/>
      </w:tblPr>
      <w:tblGrid>
        <w:gridCol w:w="7995"/>
      </w:tblGrid>
      <w:tr w:rsidR="007451C0" w:rsidRPr="00E01A58" w14:paraId="47A441CD" w14:textId="77777777" w:rsidTr="009A425A">
        <w:trPr>
          <w:trHeight w:val="400"/>
        </w:trPr>
        <w:tc>
          <w:tcPr>
            <w:tcW w:w="7995" w:type="dxa"/>
          </w:tcPr>
          <w:p w14:paraId="1A9B9735" w14:textId="4B55F217" w:rsidR="004C190A" w:rsidRDefault="004C190A" w:rsidP="00E20E7D">
            <w:pPr>
              <w:pStyle w:val="Heading2Bold"/>
              <w:rPr>
                <w:rFonts w:ascii="Arial" w:hAnsi="Arial" w:cs="Arial"/>
              </w:rPr>
            </w:pPr>
            <w:r>
              <w:rPr>
                <w:rFonts w:ascii="Arial" w:hAnsi="Arial" w:cs="Arial"/>
              </w:rPr>
              <w:t xml:space="preserve">Appendix A </w:t>
            </w:r>
          </w:p>
          <w:p w14:paraId="3B353320" w14:textId="77777777" w:rsidR="004C190A" w:rsidRDefault="004C190A" w:rsidP="00E20E7D">
            <w:pPr>
              <w:pStyle w:val="Heading2Bold"/>
              <w:rPr>
                <w:rFonts w:ascii="Arial" w:hAnsi="Arial" w:cs="Arial"/>
              </w:rPr>
            </w:pPr>
          </w:p>
          <w:p w14:paraId="0F587731" w14:textId="45DF0FCB" w:rsidR="004507B4" w:rsidRDefault="00EC6056" w:rsidP="00FD253D">
            <w:pPr>
              <w:pStyle w:val="Heading2Bold"/>
              <w:rPr>
                <w:rFonts w:ascii="Arial" w:hAnsi="Arial" w:cs="Arial"/>
              </w:rPr>
            </w:pPr>
            <w:r>
              <w:rPr>
                <w:rFonts w:ascii="Arial" w:hAnsi="Arial" w:cs="Arial"/>
              </w:rPr>
              <w:t>L</w:t>
            </w:r>
            <w:r w:rsidR="00175C53">
              <w:rPr>
                <w:rFonts w:ascii="Arial" w:hAnsi="Arial" w:cs="Arial"/>
              </w:rPr>
              <w:t xml:space="preserve">ocal </w:t>
            </w:r>
            <w:r>
              <w:rPr>
                <w:rFonts w:ascii="Arial" w:hAnsi="Arial" w:cs="Arial"/>
              </w:rPr>
              <w:t>G</w:t>
            </w:r>
            <w:r w:rsidR="00175C53">
              <w:rPr>
                <w:rFonts w:ascii="Arial" w:hAnsi="Arial" w:cs="Arial"/>
              </w:rPr>
              <w:t xml:space="preserve">overnment </w:t>
            </w:r>
            <w:r>
              <w:rPr>
                <w:rFonts w:ascii="Arial" w:hAnsi="Arial" w:cs="Arial"/>
              </w:rPr>
              <w:t>A</w:t>
            </w:r>
            <w:r w:rsidR="00175C53">
              <w:rPr>
                <w:rFonts w:ascii="Arial" w:hAnsi="Arial" w:cs="Arial"/>
              </w:rPr>
              <w:t>ssociation</w:t>
            </w:r>
            <w:r w:rsidR="004C190A">
              <w:rPr>
                <w:rFonts w:ascii="Arial" w:hAnsi="Arial" w:cs="Arial"/>
              </w:rPr>
              <w:t xml:space="preserve"> r</w:t>
            </w:r>
            <w:r w:rsidR="0094502F">
              <w:rPr>
                <w:rFonts w:ascii="Arial" w:hAnsi="Arial" w:cs="Arial"/>
              </w:rPr>
              <w:t>es</w:t>
            </w:r>
            <w:r w:rsidR="00FD253D">
              <w:rPr>
                <w:rFonts w:ascii="Arial" w:hAnsi="Arial" w:cs="Arial"/>
              </w:rPr>
              <w:t xml:space="preserve">ponse to </w:t>
            </w:r>
            <w:r w:rsidR="00FD253D" w:rsidRPr="00FD253D">
              <w:rPr>
                <w:rFonts w:ascii="Arial" w:hAnsi="Arial" w:cs="Arial"/>
              </w:rPr>
              <w:t>Markets in Financial Instruments</w:t>
            </w:r>
            <w:r w:rsidR="00FD253D">
              <w:rPr>
                <w:rFonts w:ascii="Arial" w:hAnsi="Arial" w:cs="Arial"/>
              </w:rPr>
              <w:t xml:space="preserve"> </w:t>
            </w:r>
            <w:r w:rsidR="00FD253D" w:rsidRPr="00FD253D">
              <w:rPr>
                <w:rFonts w:ascii="Arial" w:hAnsi="Arial" w:cs="Arial"/>
              </w:rPr>
              <w:t xml:space="preserve">Directive II Implementation </w:t>
            </w:r>
            <w:r w:rsidR="00FD253D" w:rsidRPr="00FD253D">
              <w:rPr>
                <w:rFonts w:ascii="Arial" w:hAnsi="Arial" w:cs="Arial" w:hint="eastAsia"/>
              </w:rPr>
              <w:t>–</w:t>
            </w:r>
            <w:r w:rsidR="00FD253D">
              <w:rPr>
                <w:rFonts w:ascii="Arial" w:hAnsi="Arial" w:cs="Arial"/>
              </w:rPr>
              <w:t xml:space="preserve"> </w:t>
            </w:r>
            <w:r w:rsidR="00FD253D" w:rsidRPr="00FD253D">
              <w:rPr>
                <w:rFonts w:ascii="Arial" w:hAnsi="Arial" w:cs="Arial"/>
              </w:rPr>
              <w:t>Consultation Paper III</w:t>
            </w:r>
            <w:r w:rsidR="00E20E7D" w:rsidRPr="00E20E7D">
              <w:rPr>
                <w:rFonts w:ascii="Arial" w:hAnsi="Arial" w:cs="Arial"/>
              </w:rPr>
              <w:t xml:space="preserve"> </w:t>
            </w:r>
            <w:r w:rsidR="003769BF">
              <w:rPr>
                <w:rFonts w:ascii="Arial" w:hAnsi="Arial" w:cs="Arial"/>
              </w:rPr>
              <w:t xml:space="preserve"> </w:t>
            </w:r>
          </w:p>
          <w:p w14:paraId="654CA008" w14:textId="4FE142FB" w:rsidR="007451C0" w:rsidRPr="00E01A58" w:rsidRDefault="00624545" w:rsidP="00E20E7D">
            <w:pPr>
              <w:pStyle w:val="Heading2Bold"/>
              <w:rPr>
                <w:rFonts w:ascii="Arial" w:hAnsi="Arial" w:cs="Arial"/>
              </w:rPr>
            </w:pPr>
            <w:r>
              <w:rPr>
                <w:rFonts w:ascii="Arial" w:hAnsi="Arial" w:cs="Arial"/>
              </w:rPr>
              <w:t xml:space="preserve">  </w:t>
            </w:r>
          </w:p>
        </w:tc>
      </w:tr>
      <w:tr w:rsidR="00240BE4" w:rsidRPr="00240BE4" w14:paraId="738FED1D" w14:textId="77777777" w:rsidTr="009A425A">
        <w:trPr>
          <w:trHeight w:hRule="exact" w:val="400"/>
        </w:trPr>
        <w:tc>
          <w:tcPr>
            <w:tcW w:w="7995" w:type="dxa"/>
          </w:tcPr>
          <w:p w14:paraId="037D28B9" w14:textId="2B39BA86" w:rsidR="007451C0" w:rsidRPr="00652044" w:rsidRDefault="004532AF" w:rsidP="006B66EA">
            <w:pPr>
              <w:pStyle w:val="Heading2"/>
              <w:rPr>
                <w:rFonts w:ascii="Arial" w:hAnsi="Arial" w:cs="Arial"/>
                <w:b/>
              </w:rPr>
            </w:pPr>
            <w:bookmarkStart w:id="0" w:name="bmDocumentDate"/>
            <w:bookmarkEnd w:id="0"/>
            <w:r>
              <w:rPr>
                <w:rFonts w:ascii="Arial" w:hAnsi="Arial" w:cs="Arial"/>
                <w:b/>
              </w:rPr>
              <w:t>December</w:t>
            </w:r>
            <w:r w:rsidR="003769BF">
              <w:rPr>
                <w:rFonts w:ascii="Arial" w:hAnsi="Arial" w:cs="Arial"/>
                <w:b/>
              </w:rPr>
              <w:t xml:space="preserve"> 2016</w:t>
            </w:r>
            <w:r w:rsidR="004D36CF" w:rsidRPr="00652044">
              <w:rPr>
                <w:rFonts w:ascii="Arial" w:hAnsi="Arial" w:cs="Arial"/>
                <w:b/>
              </w:rPr>
              <w:t xml:space="preserve"> </w:t>
            </w:r>
          </w:p>
        </w:tc>
      </w:tr>
    </w:tbl>
    <w:p w14:paraId="514A1665" w14:textId="77777777" w:rsidR="00225477" w:rsidRPr="00E71843" w:rsidRDefault="00225477" w:rsidP="00B03297">
      <w:pPr>
        <w:jc w:val="both"/>
        <w:rPr>
          <w:rFonts w:ascii="Arial" w:hAnsi="Arial" w:cs="Arial"/>
          <w:sz w:val="20"/>
        </w:rPr>
      </w:pPr>
    </w:p>
    <w:p w14:paraId="2249F67D" w14:textId="77777777" w:rsidR="00620AA4" w:rsidRPr="00E71843" w:rsidRDefault="00620AA4" w:rsidP="00B03297">
      <w:pPr>
        <w:jc w:val="both"/>
        <w:rPr>
          <w:rFonts w:ascii="Arial" w:hAnsi="Arial" w:cs="Arial"/>
          <w:sz w:val="20"/>
        </w:rPr>
        <w:sectPr w:rsidR="00620AA4" w:rsidRPr="00E71843" w:rsidSect="00EC6056">
          <w:headerReference w:type="even" r:id="rId11"/>
          <w:headerReference w:type="default" r:id="rId12"/>
          <w:footerReference w:type="even" r:id="rId13"/>
          <w:footerReference w:type="default" r:id="rId14"/>
          <w:headerReference w:type="first" r:id="rId15"/>
          <w:footerReference w:type="first" r:id="rId16"/>
          <w:pgSz w:w="11906" w:h="16838"/>
          <w:pgMar w:top="1701" w:right="2495" w:bottom="851" w:left="1418" w:header="335" w:footer="573" w:gutter="0"/>
          <w:cols w:space="720"/>
        </w:sectPr>
      </w:pPr>
    </w:p>
    <w:p w14:paraId="0A81CC11" w14:textId="4602EF85" w:rsidR="00620AA4" w:rsidRPr="003D3422" w:rsidRDefault="00EC6056" w:rsidP="00AC618A">
      <w:pPr>
        <w:spacing w:line="240" w:lineRule="auto"/>
        <w:jc w:val="both"/>
        <w:rPr>
          <w:rFonts w:ascii="Arial" w:hAnsi="Arial" w:cs="Arial"/>
          <w:b/>
          <w:szCs w:val="22"/>
        </w:rPr>
      </w:pPr>
      <w:r w:rsidRPr="003D3422">
        <w:rPr>
          <w:rFonts w:ascii="Arial" w:hAnsi="Arial" w:cs="Arial"/>
          <w:b/>
          <w:szCs w:val="22"/>
        </w:rPr>
        <w:lastRenderedPageBreak/>
        <w:t>About the Local Government Association</w:t>
      </w:r>
    </w:p>
    <w:p w14:paraId="307E538F" w14:textId="77777777" w:rsidR="00620AA4" w:rsidRPr="003D3422" w:rsidRDefault="00620AA4" w:rsidP="004846D7">
      <w:pPr>
        <w:spacing w:line="240" w:lineRule="auto"/>
        <w:ind w:left="360"/>
        <w:jc w:val="both"/>
        <w:rPr>
          <w:rFonts w:ascii="Arial" w:hAnsi="Arial" w:cs="Arial"/>
          <w:b/>
          <w:szCs w:val="22"/>
        </w:rPr>
      </w:pPr>
    </w:p>
    <w:p w14:paraId="7958754E" w14:textId="77777777" w:rsidR="00620AA4" w:rsidRPr="003D3422" w:rsidRDefault="006155B6" w:rsidP="00E20E7D">
      <w:pPr>
        <w:spacing w:line="240" w:lineRule="auto"/>
        <w:jc w:val="both"/>
        <w:rPr>
          <w:rFonts w:ascii="Arial" w:hAnsi="Arial" w:cs="Arial"/>
          <w:b/>
          <w:szCs w:val="22"/>
        </w:rPr>
      </w:pPr>
      <w:r w:rsidRPr="003D3422">
        <w:rPr>
          <w:rFonts w:ascii="Arial" w:hAnsi="Arial" w:cs="Arial"/>
          <w:szCs w:val="22"/>
          <w:lang w:eastAsia="ja-JP"/>
        </w:rPr>
        <w:t>The Local Government Association (LGA) is the national voice o</w:t>
      </w:r>
      <w:r w:rsidR="00620AA4" w:rsidRPr="003D3422">
        <w:rPr>
          <w:rFonts w:ascii="Arial" w:hAnsi="Arial" w:cs="Arial"/>
          <w:szCs w:val="22"/>
          <w:lang w:eastAsia="ja-JP"/>
        </w:rPr>
        <w:t xml:space="preserve">f local </w:t>
      </w:r>
      <w:r w:rsidRPr="003D3422">
        <w:rPr>
          <w:rFonts w:ascii="Arial" w:hAnsi="Arial" w:cs="Arial"/>
          <w:szCs w:val="22"/>
          <w:lang w:eastAsia="ja-JP"/>
        </w:rPr>
        <w:t xml:space="preserve">government. We work with councils to support, promote and improve local government. </w:t>
      </w:r>
    </w:p>
    <w:p w14:paraId="519921CD" w14:textId="77777777" w:rsidR="00620AA4" w:rsidRPr="003D3422" w:rsidRDefault="00620AA4" w:rsidP="00E20E7D">
      <w:pPr>
        <w:spacing w:line="240" w:lineRule="auto"/>
        <w:ind w:left="-371"/>
        <w:jc w:val="both"/>
        <w:rPr>
          <w:rFonts w:ascii="Arial" w:hAnsi="Arial" w:cs="Arial"/>
          <w:b/>
          <w:szCs w:val="22"/>
        </w:rPr>
      </w:pPr>
    </w:p>
    <w:p w14:paraId="7AB2A809" w14:textId="77777777" w:rsidR="006155B6" w:rsidRPr="003D3422" w:rsidRDefault="006155B6" w:rsidP="00E20E7D">
      <w:pPr>
        <w:spacing w:line="240" w:lineRule="auto"/>
        <w:jc w:val="both"/>
        <w:rPr>
          <w:rFonts w:ascii="Arial" w:hAnsi="Arial" w:cs="Arial"/>
          <w:b/>
          <w:szCs w:val="22"/>
        </w:rPr>
      </w:pPr>
      <w:r w:rsidRPr="003D3422">
        <w:rPr>
          <w:rFonts w:ascii="Arial" w:hAnsi="Arial" w:cs="Arial"/>
          <w:szCs w:val="22"/>
          <w:lang w:eastAsia="ja-JP"/>
        </w:rPr>
        <w:t>We are a politically-led, cross party organisation that works on behalf of councils to ensure local government has a strong, credible voice with national government. We aim to influence and set the political agenda on the issues that matter to councils so they are able to deliver local solutions to national problems. The LGA covers every part of England and Wales, supporting local government as the most efficient and accountable part of the public sector.</w:t>
      </w:r>
    </w:p>
    <w:p w14:paraId="597899F3" w14:textId="77777777" w:rsidR="00E20E7D" w:rsidRPr="003D3422" w:rsidRDefault="00E20E7D" w:rsidP="00E20E7D">
      <w:pPr>
        <w:pStyle w:val="ListParagraph"/>
        <w:ind w:left="-360"/>
        <w:rPr>
          <w:rFonts w:ascii="Arial" w:hAnsi="Arial" w:cs="Arial"/>
          <w:b/>
          <w:sz w:val="22"/>
          <w:szCs w:val="22"/>
        </w:rPr>
      </w:pPr>
    </w:p>
    <w:p w14:paraId="3588BAF2" w14:textId="4740F968" w:rsidR="00E20E7D" w:rsidRPr="003D3422" w:rsidRDefault="00E20E7D" w:rsidP="00E20E7D">
      <w:pPr>
        <w:spacing w:line="240" w:lineRule="auto"/>
        <w:jc w:val="both"/>
        <w:rPr>
          <w:rFonts w:ascii="Arial" w:hAnsi="Arial" w:cs="Arial"/>
          <w:b/>
          <w:szCs w:val="22"/>
        </w:rPr>
      </w:pPr>
      <w:r w:rsidRPr="003D3422">
        <w:rPr>
          <w:rFonts w:ascii="Arial" w:hAnsi="Arial" w:cs="Arial"/>
          <w:szCs w:val="22"/>
        </w:rPr>
        <w:t xml:space="preserve">This response has been approved by </w:t>
      </w:r>
      <w:r w:rsidR="004532AF" w:rsidRPr="003D3422">
        <w:rPr>
          <w:rFonts w:ascii="Arial" w:hAnsi="Arial" w:cs="Arial"/>
          <w:szCs w:val="22"/>
        </w:rPr>
        <w:t>LGA</w:t>
      </w:r>
      <w:r w:rsidR="00FD253D" w:rsidRPr="003D3422">
        <w:rPr>
          <w:rFonts w:ascii="Arial" w:hAnsi="Arial" w:cs="Arial"/>
          <w:szCs w:val="22"/>
        </w:rPr>
        <w:t>’</w:t>
      </w:r>
      <w:r w:rsidR="00A139E4" w:rsidRPr="003D3422">
        <w:rPr>
          <w:rFonts w:ascii="Arial" w:hAnsi="Arial" w:cs="Arial"/>
          <w:szCs w:val="22"/>
        </w:rPr>
        <w:t xml:space="preserve">s </w:t>
      </w:r>
      <w:r w:rsidR="00E9643A" w:rsidRPr="003D3422">
        <w:rPr>
          <w:rFonts w:ascii="Arial" w:hAnsi="Arial" w:cs="Arial"/>
          <w:szCs w:val="22"/>
        </w:rPr>
        <w:t>Resources Board and</w:t>
      </w:r>
      <w:r w:rsidR="00EE7540" w:rsidRPr="003D3422">
        <w:rPr>
          <w:rFonts w:ascii="Arial" w:hAnsi="Arial" w:cs="Arial"/>
          <w:szCs w:val="22"/>
        </w:rPr>
        <w:t xml:space="preserve">, for the impacts on pension fund authorities only, </w:t>
      </w:r>
      <w:r w:rsidR="00E9643A" w:rsidRPr="003D3422">
        <w:rPr>
          <w:rFonts w:ascii="Arial" w:hAnsi="Arial" w:cs="Arial"/>
          <w:szCs w:val="22"/>
        </w:rPr>
        <w:t>the Local G</w:t>
      </w:r>
      <w:r w:rsidR="00A139E4" w:rsidRPr="003D3422">
        <w:rPr>
          <w:rFonts w:ascii="Arial" w:hAnsi="Arial" w:cs="Arial"/>
          <w:szCs w:val="22"/>
        </w:rPr>
        <w:t>overnment Pensions Committee (LGPC)</w:t>
      </w:r>
      <w:r w:rsidR="00EE7540" w:rsidRPr="003D3422">
        <w:rPr>
          <w:rFonts w:ascii="Arial" w:hAnsi="Arial" w:cs="Arial"/>
          <w:szCs w:val="22"/>
        </w:rPr>
        <w:t>,</w:t>
      </w:r>
      <w:r w:rsidR="00A139E4" w:rsidRPr="003D3422">
        <w:rPr>
          <w:rFonts w:ascii="Arial" w:hAnsi="Arial" w:cs="Arial"/>
          <w:szCs w:val="22"/>
        </w:rPr>
        <w:t xml:space="preserve"> and is submitted jointly with the Local Government Pension Scheme Advisory Board (SAB).</w:t>
      </w:r>
    </w:p>
    <w:p w14:paraId="45EC4D0C" w14:textId="77777777" w:rsidR="00E20E7D" w:rsidRPr="003D3422" w:rsidRDefault="00E20E7D" w:rsidP="00E20E7D">
      <w:pPr>
        <w:pStyle w:val="ListParagraph"/>
        <w:rPr>
          <w:rFonts w:ascii="Arial" w:hAnsi="Arial" w:cs="Arial"/>
          <w:b/>
          <w:sz w:val="22"/>
          <w:szCs w:val="22"/>
        </w:rPr>
      </w:pPr>
    </w:p>
    <w:p w14:paraId="099AA99A" w14:textId="6C623297" w:rsidR="00A139E4" w:rsidRPr="003D3422" w:rsidRDefault="00FD253D" w:rsidP="00AC618A">
      <w:pPr>
        <w:spacing w:line="240" w:lineRule="auto"/>
        <w:jc w:val="both"/>
        <w:rPr>
          <w:rFonts w:ascii="Arial" w:hAnsi="Arial" w:cs="Arial"/>
          <w:b/>
          <w:szCs w:val="22"/>
        </w:rPr>
      </w:pPr>
      <w:r w:rsidRPr="003D3422">
        <w:rPr>
          <w:rFonts w:ascii="Arial" w:hAnsi="Arial" w:cs="Arial"/>
          <w:b/>
          <w:szCs w:val="22"/>
        </w:rPr>
        <w:t>General point</w:t>
      </w:r>
      <w:r w:rsidR="00A139E4" w:rsidRPr="003D3422">
        <w:rPr>
          <w:rFonts w:ascii="Arial" w:hAnsi="Arial" w:cs="Arial"/>
          <w:b/>
          <w:szCs w:val="22"/>
        </w:rPr>
        <w:t>s on the approach taken to status of local authorities in the proposals</w:t>
      </w:r>
    </w:p>
    <w:p w14:paraId="73FE601D" w14:textId="77777777" w:rsidR="00A139E4" w:rsidRPr="003D3422" w:rsidRDefault="00A139E4" w:rsidP="00A139E4">
      <w:pPr>
        <w:spacing w:line="240" w:lineRule="auto"/>
        <w:ind w:left="360"/>
        <w:jc w:val="both"/>
        <w:rPr>
          <w:rFonts w:ascii="Arial" w:hAnsi="Arial" w:cs="Arial"/>
          <w:b/>
          <w:szCs w:val="22"/>
        </w:rPr>
      </w:pPr>
    </w:p>
    <w:p w14:paraId="0D692AA0" w14:textId="484AADE7" w:rsidR="00A139E4" w:rsidRPr="003D3422" w:rsidRDefault="00A139E4" w:rsidP="00A139E4">
      <w:pPr>
        <w:widowControl/>
        <w:spacing w:after="160" w:line="259" w:lineRule="auto"/>
        <w:rPr>
          <w:rFonts w:ascii="Arial" w:eastAsiaTheme="minorHAnsi" w:hAnsi="Arial" w:cs="Arial"/>
          <w:szCs w:val="22"/>
        </w:rPr>
      </w:pPr>
      <w:r w:rsidRPr="003D3422">
        <w:rPr>
          <w:rFonts w:ascii="Arial" w:eastAsiaTheme="minorHAnsi" w:hAnsi="Arial" w:cs="Arial"/>
          <w:szCs w:val="22"/>
        </w:rPr>
        <w:t xml:space="preserve">The LGA is strongly of the opinion that </w:t>
      </w:r>
    </w:p>
    <w:p w14:paraId="16950003" w14:textId="1006D3C4" w:rsidR="00A139E4" w:rsidRPr="003D3422" w:rsidRDefault="00A139E4" w:rsidP="00A139E4">
      <w:pPr>
        <w:widowControl/>
        <w:numPr>
          <w:ilvl w:val="0"/>
          <w:numId w:val="29"/>
        </w:numPr>
        <w:spacing w:after="160" w:line="259" w:lineRule="auto"/>
        <w:contextualSpacing/>
        <w:rPr>
          <w:rFonts w:ascii="Arial" w:eastAsiaTheme="minorHAnsi" w:hAnsi="Arial" w:cs="Arial"/>
          <w:szCs w:val="22"/>
        </w:rPr>
      </w:pPr>
      <w:r w:rsidRPr="003D3422">
        <w:rPr>
          <w:rFonts w:ascii="Arial" w:eastAsiaTheme="minorHAnsi" w:hAnsi="Arial" w:cs="Arial"/>
          <w:szCs w:val="22"/>
        </w:rPr>
        <w:t>The reclassification of local authorities as retail investors is unnecessary and will have serious consequences for the</w:t>
      </w:r>
      <w:r w:rsidR="00E9643A" w:rsidRPr="003D3422">
        <w:rPr>
          <w:rFonts w:ascii="Arial" w:eastAsiaTheme="minorHAnsi" w:hAnsi="Arial" w:cs="Arial"/>
          <w:szCs w:val="22"/>
        </w:rPr>
        <w:t xml:space="preserve"> </w:t>
      </w:r>
      <w:r w:rsidRPr="003D3422">
        <w:rPr>
          <w:rFonts w:ascii="Arial" w:eastAsiaTheme="minorHAnsi" w:hAnsi="Arial" w:cs="Arial"/>
          <w:szCs w:val="22"/>
        </w:rPr>
        <w:t>effective implementation of pensio</w:t>
      </w:r>
      <w:r w:rsidR="00E9643A" w:rsidRPr="003D3422">
        <w:rPr>
          <w:rFonts w:ascii="Arial" w:eastAsiaTheme="minorHAnsi" w:hAnsi="Arial" w:cs="Arial"/>
          <w:szCs w:val="22"/>
        </w:rPr>
        <w:t>n fund investment strategies, as well as for general Treasury Management by local authorities.</w:t>
      </w:r>
    </w:p>
    <w:p w14:paraId="6D2E3C4B" w14:textId="70F6C750" w:rsidR="00A139E4" w:rsidRPr="003D3422" w:rsidRDefault="00A139E4" w:rsidP="00A139E4">
      <w:pPr>
        <w:widowControl/>
        <w:numPr>
          <w:ilvl w:val="0"/>
          <w:numId w:val="29"/>
        </w:numPr>
        <w:spacing w:after="160" w:line="259" w:lineRule="auto"/>
        <w:contextualSpacing/>
        <w:rPr>
          <w:rFonts w:ascii="Arial" w:eastAsiaTheme="minorHAnsi" w:hAnsi="Arial" w:cs="Arial"/>
          <w:szCs w:val="22"/>
        </w:rPr>
      </w:pPr>
      <w:r w:rsidRPr="003D3422">
        <w:rPr>
          <w:rFonts w:ascii="Arial" w:eastAsiaTheme="minorHAnsi" w:hAnsi="Arial" w:cs="Arial"/>
          <w:szCs w:val="22"/>
        </w:rPr>
        <w:t>The elective professional status process is not appropriate for local authorities and will require adapting to effectively assess their decision making structures</w:t>
      </w:r>
      <w:r w:rsidR="00E9643A" w:rsidRPr="003D3422">
        <w:rPr>
          <w:rFonts w:ascii="Arial" w:eastAsiaTheme="minorHAnsi" w:hAnsi="Arial" w:cs="Arial"/>
          <w:szCs w:val="22"/>
        </w:rPr>
        <w:t>.</w:t>
      </w:r>
    </w:p>
    <w:p w14:paraId="21CBF4D8" w14:textId="3EB50172" w:rsidR="00A139E4" w:rsidRPr="003D3422" w:rsidRDefault="00A139E4" w:rsidP="00A139E4">
      <w:pPr>
        <w:widowControl/>
        <w:numPr>
          <w:ilvl w:val="0"/>
          <w:numId w:val="29"/>
        </w:numPr>
        <w:spacing w:after="160" w:line="259" w:lineRule="auto"/>
        <w:contextualSpacing/>
        <w:rPr>
          <w:rFonts w:ascii="Arial" w:eastAsiaTheme="minorHAnsi" w:hAnsi="Arial" w:cs="Arial"/>
          <w:b/>
          <w:szCs w:val="22"/>
        </w:rPr>
      </w:pPr>
      <w:r w:rsidRPr="003D3422">
        <w:rPr>
          <w:rFonts w:ascii="Arial" w:eastAsiaTheme="minorHAnsi" w:hAnsi="Arial" w:cs="Arial"/>
          <w:szCs w:val="22"/>
        </w:rPr>
        <w:t>Collective Investment Schemes can provide an appropriate route to the range of instruments needed by local authorities</w:t>
      </w:r>
      <w:r w:rsidR="00E9643A" w:rsidRPr="003D3422">
        <w:rPr>
          <w:rFonts w:ascii="Arial" w:eastAsiaTheme="minorHAnsi" w:hAnsi="Arial" w:cs="Arial"/>
          <w:szCs w:val="22"/>
        </w:rPr>
        <w:t>, particularly pension funds,</w:t>
      </w:r>
      <w:r w:rsidRPr="003D3422">
        <w:rPr>
          <w:rFonts w:ascii="Arial" w:eastAsiaTheme="minorHAnsi" w:hAnsi="Arial" w:cs="Arial"/>
          <w:szCs w:val="22"/>
        </w:rPr>
        <w:t xml:space="preserve"> and with the assistance of </w:t>
      </w:r>
      <w:r w:rsidR="00AC618A">
        <w:rPr>
          <w:rFonts w:ascii="Arial" w:eastAsiaTheme="minorHAnsi" w:hAnsi="Arial" w:cs="Arial"/>
          <w:szCs w:val="22"/>
        </w:rPr>
        <w:t xml:space="preserve">the </w:t>
      </w:r>
      <w:r w:rsidRPr="003D3422">
        <w:rPr>
          <w:rFonts w:ascii="Arial" w:eastAsiaTheme="minorHAnsi" w:hAnsi="Arial" w:cs="Arial"/>
          <w:szCs w:val="22"/>
        </w:rPr>
        <w:t>FCA could negate the need to undergo the elective professional process</w:t>
      </w:r>
      <w:r w:rsidR="00E9643A" w:rsidRPr="003D3422">
        <w:rPr>
          <w:rFonts w:ascii="Arial" w:eastAsiaTheme="minorHAnsi" w:hAnsi="Arial" w:cs="Arial"/>
          <w:szCs w:val="22"/>
        </w:rPr>
        <w:t>.</w:t>
      </w:r>
    </w:p>
    <w:p w14:paraId="287CD604" w14:textId="2D104862" w:rsidR="00A139E4" w:rsidRPr="003D3422" w:rsidRDefault="00A139E4" w:rsidP="00A139E4">
      <w:pPr>
        <w:widowControl/>
        <w:numPr>
          <w:ilvl w:val="0"/>
          <w:numId w:val="29"/>
        </w:numPr>
        <w:spacing w:after="160" w:line="259" w:lineRule="auto"/>
        <w:contextualSpacing/>
        <w:rPr>
          <w:rFonts w:ascii="Arial" w:eastAsiaTheme="minorHAnsi" w:hAnsi="Arial" w:cs="Arial"/>
          <w:b/>
          <w:szCs w:val="22"/>
        </w:rPr>
      </w:pPr>
      <w:r w:rsidRPr="003D3422">
        <w:rPr>
          <w:rFonts w:ascii="Arial" w:eastAsiaTheme="minorHAnsi" w:hAnsi="Arial" w:cs="Arial"/>
          <w:szCs w:val="22"/>
        </w:rPr>
        <w:t>Clarity is needed with regard to transactions made prior to 3</w:t>
      </w:r>
      <w:r w:rsidRPr="003D3422">
        <w:rPr>
          <w:rFonts w:ascii="Arial" w:eastAsiaTheme="minorHAnsi" w:hAnsi="Arial" w:cs="Arial"/>
          <w:szCs w:val="22"/>
          <w:vertAlign w:val="superscript"/>
        </w:rPr>
        <w:t>rd</w:t>
      </w:r>
      <w:r w:rsidR="00C23912" w:rsidRPr="003D3422">
        <w:rPr>
          <w:rFonts w:ascii="Arial" w:eastAsiaTheme="minorHAnsi" w:hAnsi="Arial" w:cs="Arial"/>
          <w:szCs w:val="22"/>
        </w:rPr>
        <w:t xml:space="preserve"> January 2018</w:t>
      </w:r>
      <w:r w:rsidR="00E9643A" w:rsidRPr="003D3422">
        <w:rPr>
          <w:rFonts w:ascii="Arial" w:eastAsiaTheme="minorHAnsi" w:hAnsi="Arial" w:cs="Arial"/>
          <w:szCs w:val="22"/>
        </w:rPr>
        <w:t>.</w:t>
      </w:r>
    </w:p>
    <w:p w14:paraId="27E039C7" w14:textId="77777777" w:rsidR="00A139E4" w:rsidRPr="003D3422" w:rsidRDefault="00A139E4" w:rsidP="00A139E4">
      <w:pPr>
        <w:widowControl/>
        <w:spacing w:after="160" w:line="259" w:lineRule="auto"/>
        <w:ind w:left="720"/>
        <w:contextualSpacing/>
        <w:rPr>
          <w:rFonts w:ascii="Arial" w:eastAsiaTheme="minorHAnsi" w:hAnsi="Arial" w:cs="Arial"/>
          <w:b/>
          <w:szCs w:val="22"/>
        </w:rPr>
      </w:pPr>
    </w:p>
    <w:p w14:paraId="582B1F3C" w14:textId="72F1FECA" w:rsidR="00A139E4" w:rsidRPr="00AC618A" w:rsidRDefault="00A139E4" w:rsidP="00AC618A">
      <w:pPr>
        <w:spacing w:line="240" w:lineRule="auto"/>
        <w:jc w:val="both"/>
        <w:rPr>
          <w:rFonts w:ascii="Arial" w:hAnsi="Arial" w:cs="Arial"/>
          <w:b/>
          <w:szCs w:val="22"/>
        </w:rPr>
      </w:pPr>
      <w:r w:rsidRPr="00AC618A">
        <w:rPr>
          <w:rFonts w:ascii="Arial" w:hAnsi="Arial" w:cs="Arial"/>
          <w:b/>
          <w:szCs w:val="22"/>
        </w:rPr>
        <w:t>Classification</w:t>
      </w:r>
    </w:p>
    <w:p w14:paraId="095A1B17" w14:textId="77777777" w:rsidR="00A139E4" w:rsidRPr="00A02476" w:rsidRDefault="00A139E4" w:rsidP="00A02476">
      <w:pPr>
        <w:spacing w:line="240" w:lineRule="auto"/>
        <w:jc w:val="both"/>
        <w:rPr>
          <w:rFonts w:ascii="Arial" w:hAnsi="Arial" w:cs="Arial"/>
          <w:szCs w:val="22"/>
        </w:rPr>
      </w:pPr>
      <w:r w:rsidRPr="00A02476">
        <w:rPr>
          <w:rFonts w:ascii="Arial" w:hAnsi="Arial" w:cs="Arial"/>
          <w:szCs w:val="22"/>
        </w:rPr>
        <w:t xml:space="preserve">Before addressing the opt up criteria we would wish to state our disappointment that the reclassification of local authorities as retail investors is taking place. Local authorities in the UK have a robust track record of effective risk management with regard to investment and in respect of their pension funds considerable experience across a wide range of asset classes. </w:t>
      </w:r>
    </w:p>
    <w:p w14:paraId="60CDF01C" w14:textId="77777777" w:rsidR="00A139E4" w:rsidRPr="003D3422" w:rsidRDefault="00A139E4" w:rsidP="00A139E4">
      <w:pPr>
        <w:widowControl/>
        <w:spacing w:after="160" w:line="259" w:lineRule="auto"/>
        <w:ind w:left="720"/>
        <w:contextualSpacing/>
        <w:rPr>
          <w:rFonts w:ascii="Arial" w:eastAsiaTheme="minorHAnsi" w:hAnsi="Arial" w:cs="Arial"/>
          <w:szCs w:val="22"/>
        </w:rPr>
      </w:pPr>
    </w:p>
    <w:p w14:paraId="57814932" w14:textId="77777777" w:rsidR="00A139E4" w:rsidRPr="00A02476" w:rsidRDefault="00A139E4" w:rsidP="00A02476">
      <w:pPr>
        <w:spacing w:line="240" w:lineRule="auto"/>
        <w:jc w:val="both"/>
        <w:rPr>
          <w:rFonts w:ascii="Arial" w:hAnsi="Arial" w:cs="Arial"/>
          <w:szCs w:val="22"/>
        </w:rPr>
      </w:pPr>
      <w:r w:rsidRPr="00A02476">
        <w:rPr>
          <w:rFonts w:ascii="Arial" w:hAnsi="Arial" w:cs="Arial"/>
          <w:szCs w:val="22"/>
        </w:rPr>
        <w:t xml:space="preserve">Furthermore investment by local authorities for pension fund purposes are subject to regulation (SI 2016 No. 946 PUBLIC SERVICE PENSIONS, ENGLAND AND WALES The Local Government Pension Scheme (Management and Investment of </w:t>
      </w:r>
      <w:r w:rsidRPr="00A02476">
        <w:rPr>
          <w:rFonts w:ascii="Arial" w:hAnsi="Arial" w:cs="Arial"/>
          <w:szCs w:val="22"/>
        </w:rPr>
        <w:lastRenderedPageBreak/>
        <w:t>Funds) Regulations 2016) which include the requirement to take ‘proper advice’ when appointing investment managers.</w:t>
      </w:r>
    </w:p>
    <w:p w14:paraId="15E1FA01" w14:textId="77777777" w:rsidR="00A139E4" w:rsidRPr="00A02476" w:rsidRDefault="00A139E4" w:rsidP="00A02476">
      <w:pPr>
        <w:spacing w:line="240" w:lineRule="auto"/>
        <w:jc w:val="both"/>
        <w:rPr>
          <w:rFonts w:ascii="Arial" w:hAnsi="Arial" w:cs="Arial"/>
          <w:szCs w:val="22"/>
        </w:rPr>
      </w:pPr>
    </w:p>
    <w:p w14:paraId="1940AEFD" w14:textId="77777777" w:rsidR="00A139E4" w:rsidRPr="00A02476" w:rsidRDefault="00A139E4" w:rsidP="00A02476">
      <w:pPr>
        <w:spacing w:line="240" w:lineRule="auto"/>
        <w:jc w:val="both"/>
        <w:rPr>
          <w:rFonts w:ascii="Arial" w:hAnsi="Arial" w:cs="Arial"/>
          <w:szCs w:val="22"/>
        </w:rPr>
      </w:pPr>
      <w:r w:rsidRPr="00A02476">
        <w:rPr>
          <w:rFonts w:ascii="Arial" w:hAnsi="Arial" w:cs="Arial"/>
          <w:szCs w:val="22"/>
        </w:rPr>
        <w:t xml:space="preserve">This re classification will in our view place local authorities at a significant disadvantage when implementing properly considered and constructed investment strategies. In particular the reclassification to retail client status: </w:t>
      </w:r>
    </w:p>
    <w:p w14:paraId="6185E358" w14:textId="77777777" w:rsidR="00A139E4" w:rsidRPr="003D3422" w:rsidRDefault="00A139E4" w:rsidP="00A139E4">
      <w:pPr>
        <w:widowControl/>
        <w:spacing w:after="160" w:line="259" w:lineRule="auto"/>
        <w:ind w:left="720"/>
        <w:contextualSpacing/>
        <w:rPr>
          <w:rFonts w:ascii="Arial" w:eastAsiaTheme="minorHAnsi" w:hAnsi="Arial" w:cs="Arial"/>
          <w:szCs w:val="22"/>
        </w:rPr>
      </w:pPr>
    </w:p>
    <w:p w14:paraId="686F9317" w14:textId="77777777" w:rsidR="00A139E4" w:rsidRPr="003D3422" w:rsidRDefault="00A139E4" w:rsidP="00A02476">
      <w:pPr>
        <w:widowControl/>
        <w:numPr>
          <w:ilvl w:val="0"/>
          <w:numId w:val="29"/>
        </w:numPr>
        <w:spacing w:after="160" w:line="259" w:lineRule="auto"/>
        <w:contextualSpacing/>
        <w:rPr>
          <w:rFonts w:ascii="Arial" w:eastAsiaTheme="minorHAnsi" w:hAnsi="Arial" w:cs="Arial"/>
          <w:szCs w:val="22"/>
        </w:rPr>
      </w:pPr>
      <w:r w:rsidRPr="003D3422">
        <w:rPr>
          <w:rFonts w:ascii="Arial" w:eastAsiaTheme="minorHAnsi" w:hAnsi="Arial" w:cs="Arial"/>
          <w:szCs w:val="22"/>
        </w:rPr>
        <w:t xml:space="preserve">Will prevent authorities accessing the full range of asset classes and vehicles they currently use to execute investment strategy </w:t>
      </w:r>
    </w:p>
    <w:p w14:paraId="1B6AB751" w14:textId="5B275882" w:rsidR="00A139E4" w:rsidRPr="003D3422" w:rsidRDefault="00A139E4" w:rsidP="00A02476">
      <w:pPr>
        <w:widowControl/>
        <w:numPr>
          <w:ilvl w:val="0"/>
          <w:numId w:val="29"/>
        </w:numPr>
        <w:spacing w:after="160" w:line="259" w:lineRule="auto"/>
        <w:contextualSpacing/>
        <w:rPr>
          <w:rFonts w:ascii="Arial" w:eastAsiaTheme="minorHAnsi" w:hAnsi="Arial" w:cs="Arial"/>
          <w:szCs w:val="22"/>
        </w:rPr>
      </w:pPr>
      <w:r w:rsidRPr="003D3422">
        <w:rPr>
          <w:rFonts w:ascii="Arial" w:eastAsiaTheme="minorHAnsi" w:hAnsi="Arial" w:cs="Arial"/>
          <w:szCs w:val="22"/>
        </w:rPr>
        <w:t xml:space="preserve">Is inconsistent with the ‘prudent person’ approach provided for in the </w:t>
      </w:r>
      <w:r w:rsidR="00C23912" w:rsidRPr="003D3422">
        <w:rPr>
          <w:rFonts w:ascii="Arial" w:eastAsiaTheme="minorHAnsi" w:hAnsi="Arial" w:cs="Arial"/>
          <w:szCs w:val="22"/>
        </w:rPr>
        <w:t>Local Government Pension Scheme (</w:t>
      </w:r>
      <w:r w:rsidRPr="003D3422">
        <w:rPr>
          <w:rFonts w:ascii="Arial" w:eastAsiaTheme="minorHAnsi" w:hAnsi="Arial" w:cs="Arial"/>
          <w:szCs w:val="22"/>
        </w:rPr>
        <w:t>LGPS</w:t>
      </w:r>
      <w:r w:rsidR="00C23912" w:rsidRPr="003D3422">
        <w:rPr>
          <w:rFonts w:ascii="Arial" w:eastAsiaTheme="minorHAnsi" w:hAnsi="Arial" w:cs="Arial"/>
          <w:szCs w:val="22"/>
        </w:rPr>
        <w:t>)</w:t>
      </w:r>
      <w:r w:rsidRPr="003D3422">
        <w:rPr>
          <w:rFonts w:ascii="Arial" w:eastAsiaTheme="minorHAnsi" w:hAnsi="Arial" w:cs="Arial"/>
          <w:szCs w:val="22"/>
        </w:rPr>
        <w:t xml:space="preserve"> investment regulations 2016</w:t>
      </w:r>
    </w:p>
    <w:p w14:paraId="68076FB9" w14:textId="77777777" w:rsidR="00A139E4" w:rsidRPr="003D3422" w:rsidRDefault="00A139E4" w:rsidP="00A02476">
      <w:pPr>
        <w:widowControl/>
        <w:numPr>
          <w:ilvl w:val="0"/>
          <w:numId w:val="29"/>
        </w:numPr>
        <w:spacing w:after="160" w:line="259" w:lineRule="auto"/>
        <w:contextualSpacing/>
        <w:rPr>
          <w:rFonts w:ascii="Arial" w:eastAsiaTheme="minorHAnsi" w:hAnsi="Arial" w:cs="Arial"/>
          <w:szCs w:val="22"/>
        </w:rPr>
      </w:pPr>
      <w:r w:rsidRPr="003D3422">
        <w:rPr>
          <w:rFonts w:ascii="Arial" w:eastAsiaTheme="minorHAnsi" w:hAnsi="Arial" w:cs="Arial"/>
          <w:szCs w:val="22"/>
        </w:rPr>
        <w:t>Is inconsistent with the Government’s desire for greater infrastructure investment by local authority pension funds</w:t>
      </w:r>
    </w:p>
    <w:p w14:paraId="0055E91F" w14:textId="77777777" w:rsidR="00A139E4" w:rsidRPr="003D3422" w:rsidRDefault="00A139E4" w:rsidP="00A139E4">
      <w:pPr>
        <w:widowControl/>
        <w:spacing w:after="160" w:line="259" w:lineRule="auto"/>
        <w:ind w:left="1418"/>
        <w:contextualSpacing/>
        <w:rPr>
          <w:rFonts w:ascii="Arial" w:eastAsiaTheme="minorHAnsi" w:hAnsi="Arial" w:cs="Arial"/>
          <w:szCs w:val="22"/>
        </w:rPr>
      </w:pPr>
    </w:p>
    <w:p w14:paraId="7ADD06BA" w14:textId="77777777" w:rsidR="00A139E4" w:rsidRPr="00A02476" w:rsidRDefault="00A139E4" w:rsidP="00A02476">
      <w:pPr>
        <w:spacing w:line="240" w:lineRule="auto"/>
        <w:jc w:val="both"/>
        <w:rPr>
          <w:rFonts w:ascii="Arial" w:hAnsi="Arial" w:cs="Arial"/>
          <w:szCs w:val="22"/>
        </w:rPr>
      </w:pPr>
      <w:r w:rsidRPr="00A02476">
        <w:rPr>
          <w:rFonts w:ascii="Arial" w:hAnsi="Arial" w:cs="Arial"/>
          <w:szCs w:val="22"/>
        </w:rPr>
        <w:t xml:space="preserve">The provision for elected professional status, although potentially mitigating the impact of the reclassification, will result in authorities having to go through a significant and time consuming process which, depending on the nature of its application by managers, provides no guarantees that future investment strategies will be able to be effectively executed with existing managers or on existing terms </w:t>
      </w:r>
    </w:p>
    <w:p w14:paraId="0C57FDD1" w14:textId="77777777" w:rsidR="00A139E4" w:rsidRPr="00A02476" w:rsidRDefault="00A139E4" w:rsidP="00A02476">
      <w:pPr>
        <w:spacing w:line="240" w:lineRule="auto"/>
        <w:jc w:val="both"/>
        <w:rPr>
          <w:rFonts w:ascii="Arial" w:hAnsi="Arial" w:cs="Arial"/>
          <w:szCs w:val="22"/>
        </w:rPr>
      </w:pPr>
    </w:p>
    <w:p w14:paraId="26B10089" w14:textId="77777777" w:rsidR="00A139E4" w:rsidRPr="00A02476" w:rsidRDefault="00A139E4" w:rsidP="00A02476">
      <w:pPr>
        <w:spacing w:line="240" w:lineRule="auto"/>
        <w:jc w:val="both"/>
        <w:rPr>
          <w:rFonts w:ascii="Arial" w:hAnsi="Arial" w:cs="Arial"/>
          <w:szCs w:val="22"/>
        </w:rPr>
      </w:pPr>
      <w:r w:rsidRPr="00A02476">
        <w:rPr>
          <w:rFonts w:ascii="Arial" w:hAnsi="Arial" w:cs="Arial"/>
          <w:szCs w:val="22"/>
        </w:rPr>
        <w:t>Finally the timing of the shift of classification provides a significant challenge to the introduction, at the instigation of the Government, of asset pooling for local authority pension funds.</w:t>
      </w:r>
    </w:p>
    <w:p w14:paraId="7C566BE8" w14:textId="77777777" w:rsidR="00A139E4" w:rsidRPr="003D3422" w:rsidRDefault="00A139E4" w:rsidP="00A139E4">
      <w:pPr>
        <w:rPr>
          <w:rFonts w:ascii="Arial" w:hAnsi="Arial" w:cs="Arial"/>
          <w:b/>
          <w:szCs w:val="22"/>
        </w:rPr>
      </w:pPr>
    </w:p>
    <w:p w14:paraId="09693E6D" w14:textId="211655DF" w:rsidR="00A139E4" w:rsidRPr="003D3422" w:rsidRDefault="00A139E4" w:rsidP="00AC618A">
      <w:pPr>
        <w:spacing w:line="240" w:lineRule="auto"/>
        <w:jc w:val="both"/>
        <w:rPr>
          <w:rFonts w:ascii="Arial" w:hAnsi="Arial" w:cs="Arial"/>
          <w:b/>
          <w:szCs w:val="22"/>
        </w:rPr>
      </w:pPr>
      <w:r w:rsidRPr="003D3422">
        <w:rPr>
          <w:rFonts w:ascii="Arial" w:hAnsi="Arial" w:cs="Arial"/>
          <w:b/>
          <w:szCs w:val="22"/>
        </w:rPr>
        <w:t xml:space="preserve">Election for professional status </w:t>
      </w:r>
    </w:p>
    <w:p w14:paraId="55EBCC77" w14:textId="77777777" w:rsidR="00A139E4" w:rsidRPr="003D3422" w:rsidRDefault="00A139E4" w:rsidP="00A139E4">
      <w:pPr>
        <w:pStyle w:val="ListParagraph"/>
        <w:spacing w:after="160" w:line="259" w:lineRule="auto"/>
        <w:contextualSpacing/>
        <w:rPr>
          <w:rFonts w:ascii="Arial" w:hAnsi="Arial" w:cs="Arial"/>
          <w:sz w:val="22"/>
          <w:szCs w:val="22"/>
        </w:rPr>
      </w:pPr>
    </w:p>
    <w:p w14:paraId="258C8808" w14:textId="4AA0AFEE" w:rsidR="00A139E4" w:rsidRPr="003D3422" w:rsidRDefault="00A139E4" w:rsidP="00A02476">
      <w:pPr>
        <w:spacing w:line="240" w:lineRule="auto"/>
        <w:jc w:val="both"/>
        <w:rPr>
          <w:rFonts w:ascii="Arial" w:hAnsi="Arial" w:cs="Arial"/>
          <w:szCs w:val="22"/>
        </w:rPr>
      </w:pPr>
      <w:r w:rsidRPr="003D3422">
        <w:rPr>
          <w:rFonts w:ascii="Arial" w:hAnsi="Arial" w:cs="Arial"/>
          <w:szCs w:val="22"/>
        </w:rPr>
        <w:t>Although the question</w:t>
      </w:r>
      <w:r w:rsidR="00C23912" w:rsidRPr="003D3422">
        <w:rPr>
          <w:rFonts w:ascii="Arial" w:hAnsi="Arial" w:cs="Arial"/>
          <w:szCs w:val="22"/>
        </w:rPr>
        <w:t xml:space="preserve"> in the consultation</w:t>
      </w:r>
      <w:r w:rsidRPr="003D3422">
        <w:rPr>
          <w:rFonts w:ascii="Arial" w:hAnsi="Arial" w:cs="Arial"/>
          <w:szCs w:val="22"/>
        </w:rPr>
        <w:t xml:space="preserve"> refers only to the revised quantitative test we would wish to comment on the complete election process. We do not consider that the process as it stands provides local authorities with an effective route to professional status in regard to their pension fund activities</w:t>
      </w:r>
      <w:r w:rsidR="00EE7540" w:rsidRPr="003D3422">
        <w:rPr>
          <w:rFonts w:ascii="Arial" w:hAnsi="Arial" w:cs="Arial"/>
          <w:szCs w:val="22"/>
        </w:rPr>
        <w:t xml:space="preserve"> or other investment activities.</w:t>
      </w:r>
      <w:r w:rsidRPr="003D3422">
        <w:rPr>
          <w:rFonts w:ascii="Arial" w:hAnsi="Arial" w:cs="Arial"/>
          <w:szCs w:val="22"/>
        </w:rPr>
        <w:t xml:space="preserve"> </w:t>
      </w:r>
    </w:p>
    <w:p w14:paraId="08C6D219" w14:textId="77777777" w:rsidR="00B71ECF" w:rsidRPr="003D3422" w:rsidRDefault="00B71ECF" w:rsidP="00B71ECF">
      <w:pPr>
        <w:pStyle w:val="ListParagraph"/>
        <w:spacing w:after="160" w:line="259" w:lineRule="auto"/>
        <w:contextualSpacing/>
        <w:rPr>
          <w:rFonts w:ascii="Arial" w:hAnsi="Arial" w:cs="Arial"/>
          <w:sz w:val="22"/>
          <w:szCs w:val="22"/>
        </w:rPr>
      </w:pPr>
    </w:p>
    <w:p w14:paraId="0466ED72" w14:textId="7BB42AD0" w:rsidR="00A139E4" w:rsidRPr="003D3422" w:rsidRDefault="00A139E4" w:rsidP="00AC618A">
      <w:pPr>
        <w:spacing w:line="240" w:lineRule="auto"/>
        <w:jc w:val="both"/>
        <w:rPr>
          <w:rFonts w:ascii="Arial" w:hAnsi="Arial" w:cs="Arial"/>
          <w:b/>
          <w:szCs w:val="22"/>
        </w:rPr>
      </w:pPr>
      <w:r w:rsidRPr="003D3422">
        <w:rPr>
          <w:rFonts w:ascii="Arial" w:hAnsi="Arial" w:cs="Arial"/>
          <w:b/>
          <w:szCs w:val="22"/>
        </w:rPr>
        <w:t>Qualitative test</w:t>
      </w:r>
    </w:p>
    <w:p w14:paraId="157826CF" w14:textId="77777777" w:rsidR="00A139E4" w:rsidRPr="003D3422" w:rsidRDefault="00A139E4" w:rsidP="00AC618A">
      <w:pPr>
        <w:spacing w:line="240" w:lineRule="auto"/>
        <w:jc w:val="both"/>
        <w:rPr>
          <w:rFonts w:ascii="Arial" w:hAnsi="Arial" w:cs="Arial"/>
          <w:b/>
          <w:szCs w:val="22"/>
        </w:rPr>
      </w:pPr>
    </w:p>
    <w:p w14:paraId="1427A8AB" w14:textId="68F79462" w:rsidR="00A139E4" w:rsidRPr="003D3422" w:rsidRDefault="00A139E4" w:rsidP="00A139E4">
      <w:pPr>
        <w:rPr>
          <w:rFonts w:ascii="Arial" w:hAnsi="Arial" w:cs="Arial"/>
          <w:b/>
          <w:szCs w:val="22"/>
        </w:rPr>
      </w:pPr>
      <w:r w:rsidRPr="00A02476">
        <w:rPr>
          <w:rFonts w:ascii="Arial" w:hAnsi="Arial" w:cs="Arial"/>
          <w:szCs w:val="22"/>
        </w:rPr>
        <w:t>The questions in the consultation do not refer directly to the proposals around the qualitative test. However, we believe there are significant problems with the approach proposed</w:t>
      </w:r>
      <w:r w:rsidRPr="003D3422">
        <w:rPr>
          <w:rFonts w:ascii="Arial" w:hAnsi="Arial" w:cs="Arial"/>
          <w:b/>
          <w:szCs w:val="22"/>
        </w:rPr>
        <w:t>.</w:t>
      </w:r>
    </w:p>
    <w:p w14:paraId="02B6A0EE" w14:textId="77777777" w:rsidR="00A139E4" w:rsidRPr="003D3422" w:rsidRDefault="00A139E4" w:rsidP="00A139E4">
      <w:pPr>
        <w:rPr>
          <w:rFonts w:ascii="Arial" w:hAnsi="Arial" w:cs="Arial"/>
          <w:b/>
          <w:szCs w:val="22"/>
        </w:rPr>
      </w:pPr>
    </w:p>
    <w:p w14:paraId="7BAFECC0" w14:textId="77777777" w:rsidR="00A139E4" w:rsidRPr="003D3422" w:rsidRDefault="00A139E4" w:rsidP="00AA13CD">
      <w:pPr>
        <w:pStyle w:val="ListParagraph"/>
        <w:numPr>
          <w:ilvl w:val="0"/>
          <w:numId w:val="28"/>
        </w:numPr>
        <w:spacing w:after="160" w:line="259" w:lineRule="auto"/>
        <w:contextualSpacing/>
        <w:rPr>
          <w:rFonts w:ascii="Arial" w:hAnsi="Arial" w:cs="Arial"/>
          <w:sz w:val="22"/>
          <w:szCs w:val="22"/>
        </w:rPr>
      </w:pPr>
      <w:r w:rsidRPr="003D3422">
        <w:rPr>
          <w:rFonts w:ascii="Arial" w:hAnsi="Arial" w:cs="Arial"/>
          <w:sz w:val="22"/>
          <w:szCs w:val="22"/>
        </w:rPr>
        <w:t xml:space="preserve">The qualitative test states that: </w:t>
      </w:r>
    </w:p>
    <w:p w14:paraId="271A86C0" w14:textId="77777777" w:rsidR="00A139E4" w:rsidRPr="003D3422" w:rsidRDefault="00A139E4" w:rsidP="00A02476">
      <w:pPr>
        <w:ind w:left="720"/>
        <w:rPr>
          <w:rFonts w:ascii="Arial" w:hAnsi="Arial" w:cs="Arial"/>
          <w:i/>
          <w:szCs w:val="22"/>
        </w:rPr>
      </w:pPr>
      <w:r w:rsidRPr="003D3422">
        <w:rPr>
          <w:rFonts w:ascii="Arial" w:hAnsi="Arial" w:cs="Arial"/>
          <w:i/>
          <w:szCs w:val="22"/>
        </w:rPr>
        <w:t>firms must undertake an adequate assessment of the expertise, experience and knowledge of the client  to give reasonable assurance in light of the nature of the transactions or services envisaged, that the client is capable of making his own investment decisions and understanding the risks involved (COBS 3.5.3R(1))</w:t>
      </w:r>
    </w:p>
    <w:p w14:paraId="05FF773C" w14:textId="77777777" w:rsidR="00587BC5" w:rsidRPr="003D3422" w:rsidRDefault="00587BC5" w:rsidP="00A139E4">
      <w:pPr>
        <w:ind w:left="1134"/>
        <w:rPr>
          <w:rFonts w:ascii="Arial" w:hAnsi="Arial" w:cs="Arial"/>
          <w:i/>
          <w:szCs w:val="22"/>
        </w:rPr>
      </w:pPr>
    </w:p>
    <w:p w14:paraId="3FB0371C" w14:textId="77777777" w:rsidR="00A139E4" w:rsidRPr="003D3422" w:rsidRDefault="00A139E4" w:rsidP="00A139E4">
      <w:pPr>
        <w:pStyle w:val="ListParagraph"/>
        <w:numPr>
          <w:ilvl w:val="0"/>
          <w:numId w:val="28"/>
        </w:numPr>
        <w:spacing w:after="160" w:line="259" w:lineRule="auto"/>
        <w:contextualSpacing/>
        <w:rPr>
          <w:rFonts w:ascii="Arial" w:hAnsi="Arial" w:cs="Arial"/>
          <w:sz w:val="22"/>
          <w:szCs w:val="22"/>
        </w:rPr>
      </w:pPr>
      <w:r w:rsidRPr="003D3422">
        <w:rPr>
          <w:rFonts w:ascii="Arial" w:hAnsi="Arial" w:cs="Arial"/>
          <w:sz w:val="22"/>
          <w:szCs w:val="22"/>
        </w:rPr>
        <w:t xml:space="preserve">The existing COBS 3.5.4 states that </w:t>
      </w:r>
    </w:p>
    <w:p w14:paraId="663F1253" w14:textId="77777777" w:rsidR="00A139E4" w:rsidRPr="003D3422" w:rsidRDefault="00A139E4" w:rsidP="00A02476">
      <w:pPr>
        <w:ind w:left="720"/>
        <w:rPr>
          <w:rFonts w:ascii="Arial" w:hAnsi="Arial" w:cs="Arial"/>
          <w:i/>
          <w:szCs w:val="22"/>
        </w:rPr>
      </w:pPr>
      <w:r w:rsidRPr="003D3422">
        <w:rPr>
          <w:rFonts w:ascii="Arial" w:hAnsi="Arial" w:cs="Arial"/>
          <w:i/>
          <w:szCs w:val="22"/>
        </w:rPr>
        <w:t>If the client is an entity, the qualitative test should be performed in relation to the person authorised to carry out transactions on its behalf.</w:t>
      </w:r>
    </w:p>
    <w:p w14:paraId="7F3DC526" w14:textId="77777777" w:rsidR="00B71ECF" w:rsidRPr="003D3422" w:rsidRDefault="00B71ECF" w:rsidP="00A139E4">
      <w:pPr>
        <w:ind w:left="1134"/>
        <w:rPr>
          <w:rFonts w:ascii="Arial" w:hAnsi="Arial" w:cs="Arial"/>
          <w:i/>
          <w:szCs w:val="22"/>
        </w:rPr>
      </w:pPr>
    </w:p>
    <w:p w14:paraId="1CAEDC3C" w14:textId="77777777" w:rsidR="00A139E4" w:rsidRPr="003D3422" w:rsidRDefault="00A139E4" w:rsidP="00A02476">
      <w:pPr>
        <w:rPr>
          <w:rFonts w:ascii="Arial" w:hAnsi="Arial" w:cs="Arial"/>
          <w:szCs w:val="22"/>
        </w:rPr>
      </w:pPr>
      <w:r w:rsidRPr="003D3422">
        <w:rPr>
          <w:rFonts w:ascii="Arial" w:hAnsi="Arial" w:cs="Arial"/>
          <w:szCs w:val="22"/>
        </w:rPr>
        <w:t xml:space="preserve">Local authorities have structures of delegation and internal controls designed to ensure proper decision making, risk management and execution. </w:t>
      </w:r>
    </w:p>
    <w:p w14:paraId="7B43BAB7" w14:textId="77777777" w:rsidR="00A139E4" w:rsidRPr="003D3422" w:rsidRDefault="00A139E4" w:rsidP="00A02476">
      <w:pPr>
        <w:rPr>
          <w:rFonts w:ascii="Arial" w:hAnsi="Arial" w:cs="Arial"/>
          <w:szCs w:val="22"/>
        </w:rPr>
      </w:pPr>
    </w:p>
    <w:p w14:paraId="0A39FD9B" w14:textId="1DD0F15B" w:rsidR="00A139E4" w:rsidRPr="003D3422" w:rsidRDefault="00A139E4" w:rsidP="00A02476">
      <w:pPr>
        <w:rPr>
          <w:rFonts w:ascii="Arial" w:hAnsi="Arial" w:cs="Arial"/>
          <w:szCs w:val="22"/>
        </w:rPr>
      </w:pPr>
      <w:r w:rsidRPr="003D3422">
        <w:rPr>
          <w:rFonts w:ascii="Arial" w:hAnsi="Arial" w:cs="Arial"/>
          <w:szCs w:val="22"/>
        </w:rPr>
        <w:t xml:space="preserve">With regard to pension fund investments the decision to invest in a particular asset class or vehicle or to engage a firm will normally be made by a committee </w:t>
      </w:r>
      <w:r w:rsidRPr="003D3422">
        <w:rPr>
          <w:rFonts w:ascii="Arial" w:hAnsi="Arial" w:cs="Arial"/>
          <w:szCs w:val="22"/>
        </w:rPr>
        <w:lastRenderedPageBreak/>
        <w:t>acting on behalf of the council.  Investment decisions are a function of the local authority with pension fund responsibilities and as such, can only be discharged by a committee constituted under Section 101 of the Local Government Act 1972 or by an officer given delegated authority to make such decisions. Section 101 committees consist of elected members with support from officers of the council, statutory advisors and consultants.</w:t>
      </w:r>
      <w:r w:rsidR="00AA13CD">
        <w:rPr>
          <w:rFonts w:ascii="Arial" w:hAnsi="Arial" w:cs="Arial"/>
          <w:szCs w:val="22"/>
        </w:rPr>
        <w:t xml:space="preserve">  </w:t>
      </w:r>
      <w:r w:rsidRPr="003D3422">
        <w:rPr>
          <w:rFonts w:ascii="Arial" w:hAnsi="Arial" w:cs="Arial"/>
          <w:szCs w:val="22"/>
        </w:rPr>
        <w:t>The transaction itself would normally be executed by an officer with delegated authority to enact the decision of the committee.</w:t>
      </w:r>
    </w:p>
    <w:p w14:paraId="6DC2C89F" w14:textId="77777777" w:rsidR="00A139E4" w:rsidRPr="003D3422" w:rsidRDefault="00A139E4" w:rsidP="00A02476">
      <w:pPr>
        <w:rPr>
          <w:rFonts w:ascii="Arial" w:hAnsi="Arial" w:cs="Arial"/>
          <w:szCs w:val="22"/>
        </w:rPr>
      </w:pPr>
    </w:p>
    <w:p w14:paraId="64976722" w14:textId="77777777" w:rsidR="00A139E4" w:rsidRPr="003D3422" w:rsidRDefault="00A139E4" w:rsidP="00A02476">
      <w:pPr>
        <w:rPr>
          <w:rFonts w:ascii="Arial" w:hAnsi="Arial" w:cs="Arial"/>
          <w:szCs w:val="22"/>
        </w:rPr>
      </w:pPr>
      <w:r w:rsidRPr="003D3422">
        <w:rPr>
          <w:rFonts w:ascii="Arial" w:hAnsi="Arial" w:cs="Arial"/>
          <w:szCs w:val="22"/>
        </w:rPr>
        <w:t>When assessing a local authority for this test, firms should be able to do so in a consistent manner that reflects the decision making process and governance arrangements which led to the transaction. There is a concern that the wording of COBS 3.5.4 would lead to the assessing of the individual who executes the transaction on behalf of the council and not those who made the decision to enter into the transaction.</w:t>
      </w:r>
    </w:p>
    <w:p w14:paraId="1F5C686F" w14:textId="77777777" w:rsidR="00A139E4" w:rsidRPr="003D3422" w:rsidRDefault="00A139E4" w:rsidP="00A02476">
      <w:pPr>
        <w:rPr>
          <w:rFonts w:ascii="Arial" w:hAnsi="Arial" w:cs="Arial"/>
          <w:szCs w:val="22"/>
        </w:rPr>
      </w:pPr>
    </w:p>
    <w:p w14:paraId="371F1F13" w14:textId="77777777" w:rsidR="00A139E4" w:rsidRPr="003D3422" w:rsidRDefault="00A139E4" w:rsidP="00A02476">
      <w:pPr>
        <w:rPr>
          <w:rFonts w:ascii="Arial" w:hAnsi="Arial" w:cs="Arial"/>
          <w:szCs w:val="22"/>
        </w:rPr>
      </w:pPr>
      <w:r w:rsidRPr="003D3422">
        <w:rPr>
          <w:rFonts w:ascii="Arial" w:hAnsi="Arial" w:cs="Arial"/>
          <w:szCs w:val="22"/>
        </w:rPr>
        <w:t xml:space="preserve">We would therefore ask that COBS 3.5.4 be amended to enable firms to assess collectively </w:t>
      </w:r>
      <w:r w:rsidRPr="00A02476">
        <w:rPr>
          <w:rFonts w:ascii="Arial" w:hAnsi="Arial" w:cs="Arial"/>
          <w:szCs w:val="22"/>
        </w:rPr>
        <w:t xml:space="preserve">the expertise, experience and knowledge </w:t>
      </w:r>
      <w:r w:rsidRPr="003D3422">
        <w:rPr>
          <w:rFonts w:ascii="Arial" w:hAnsi="Arial" w:cs="Arial"/>
          <w:szCs w:val="22"/>
        </w:rPr>
        <w:t>which resulted in the decision by the local authority as a body corporate to enter into the transaction.</w:t>
      </w:r>
    </w:p>
    <w:p w14:paraId="3FF7F0F2" w14:textId="77777777" w:rsidR="00A139E4" w:rsidRPr="003D3422" w:rsidRDefault="00A139E4" w:rsidP="00A02476">
      <w:pPr>
        <w:rPr>
          <w:rFonts w:ascii="Arial" w:hAnsi="Arial" w:cs="Arial"/>
          <w:szCs w:val="22"/>
        </w:rPr>
      </w:pPr>
    </w:p>
    <w:p w14:paraId="25E353F9" w14:textId="77777777" w:rsidR="00A139E4" w:rsidRPr="003D3422" w:rsidRDefault="00A139E4" w:rsidP="00A02476">
      <w:pPr>
        <w:rPr>
          <w:rFonts w:ascii="Arial" w:hAnsi="Arial" w:cs="Arial"/>
          <w:szCs w:val="22"/>
        </w:rPr>
      </w:pPr>
      <w:r w:rsidRPr="003D3422">
        <w:rPr>
          <w:rFonts w:ascii="Arial" w:hAnsi="Arial" w:cs="Arial"/>
          <w:szCs w:val="22"/>
        </w:rPr>
        <w:t>Such an assessment would reflect the collective principle proposed for passing the ‘fit’ requirement in IORP II Article 23 1 (a) as below;</w:t>
      </w:r>
    </w:p>
    <w:p w14:paraId="1D194C0E" w14:textId="77777777" w:rsidR="00A139E4" w:rsidRPr="003D3422" w:rsidRDefault="00A139E4" w:rsidP="00A139E4">
      <w:pPr>
        <w:pStyle w:val="ListParagraph"/>
        <w:rPr>
          <w:rFonts w:ascii="Arial" w:hAnsi="Arial" w:cs="Arial"/>
          <w:sz w:val="22"/>
          <w:szCs w:val="22"/>
        </w:rPr>
      </w:pPr>
    </w:p>
    <w:p w14:paraId="6E876B55" w14:textId="35DF0F7E" w:rsidR="00A139E4" w:rsidRPr="003D3422" w:rsidRDefault="00A139E4" w:rsidP="00587BC5">
      <w:pPr>
        <w:pStyle w:val="ListParagraph"/>
        <w:numPr>
          <w:ilvl w:val="0"/>
          <w:numId w:val="33"/>
        </w:numPr>
        <w:rPr>
          <w:rFonts w:ascii="Arial" w:hAnsi="Arial" w:cs="Arial"/>
          <w:i/>
          <w:sz w:val="22"/>
          <w:szCs w:val="22"/>
        </w:rPr>
      </w:pPr>
      <w:r w:rsidRPr="003D3422">
        <w:rPr>
          <w:rFonts w:ascii="Arial" w:hAnsi="Arial" w:cs="Arial"/>
          <w:i/>
          <w:sz w:val="22"/>
          <w:szCs w:val="22"/>
        </w:rPr>
        <w:t>for persons who effectively run the IORP, this means their qualifications, knowledge and experience are collectively adequate to enable them to ensure a sound and prudent management of the IORP;</w:t>
      </w:r>
    </w:p>
    <w:p w14:paraId="5F2F550F" w14:textId="77777777" w:rsidR="00587BC5" w:rsidRPr="003D3422" w:rsidRDefault="00587BC5" w:rsidP="00587BC5">
      <w:pPr>
        <w:pStyle w:val="ListParagraph"/>
        <w:ind w:left="1440"/>
        <w:rPr>
          <w:rFonts w:ascii="Arial" w:hAnsi="Arial" w:cs="Arial"/>
          <w:i/>
          <w:sz w:val="22"/>
          <w:szCs w:val="22"/>
        </w:rPr>
      </w:pPr>
    </w:p>
    <w:p w14:paraId="0C60C3C4" w14:textId="1DA63C2D" w:rsidR="00B71ECF" w:rsidRPr="00AC618A" w:rsidRDefault="00B71ECF" w:rsidP="00AC618A">
      <w:pPr>
        <w:spacing w:after="160" w:line="259" w:lineRule="auto"/>
        <w:rPr>
          <w:rFonts w:ascii="Arial" w:hAnsi="Arial" w:cs="Arial"/>
          <w:b/>
          <w:szCs w:val="22"/>
        </w:rPr>
      </w:pPr>
      <w:r w:rsidRPr="00AC618A">
        <w:rPr>
          <w:rFonts w:ascii="Arial" w:hAnsi="Arial" w:cs="Arial"/>
          <w:b/>
          <w:szCs w:val="22"/>
        </w:rPr>
        <w:t>Pooled assets</w:t>
      </w:r>
    </w:p>
    <w:p w14:paraId="7742F2E4" w14:textId="77777777" w:rsidR="00B71ECF" w:rsidRPr="00A02476" w:rsidRDefault="00B71ECF" w:rsidP="00A02476">
      <w:pPr>
        <w:rPr>
          <w:rFonts w:ascii="Arial" w:hAnsi="Arial" w:cs="Arial"/>
          <w:szCs w:val="22"/>
        </w:rPr>
      </w:pPr>
      <w:r w:rsidRPr="00A02476">
        <w:rPr>
          <w:rFonts w:ascii="Arial" w:hAnsi="Arial" w:cs="Arial"/>
          <w:szCs w:val="22"/>
        </w:rPr>
        <w:t>Since November 2015, local authorities have been developing asset pools at the behest of Government. These pools will have a number of different structures and will therefore be subject to different impacts from the reclassification.</w:t>
      </w:r>
    </w:p>
    <w:p w14:paraId="5E6D19F9" w14:textId="77777777" w:rsidR="00B71ECF" w:rsidRPr="00A02476" w:rsidRDefault="00B71ECF" w:rsidP="00A02476">
      <w:pPr>
        <w:rPr>
          <w:rFonts w:ascii="Arial" w:hAnsi="Arial" w:cs="Arial"/>
          <w:szCs w:val="22"/>
        </w:rPr>
      </w:pPr>
    </w:p>
    <w:p w14:paraId="1A8A5D1F" w14:textId="77777777" w:rsidR="00B71ECF" w:rsidRPr="00A02476" w:rsidRDefault="00B71ECF" w:rsidP="00A02476">
      <w:pPr>
        <w:rPr>
          <w:rFonts w:ascii="Arial" w:hAnsi="Arial" w:cs="Arial"/>
          <w:szCs w:val="22"/>
        </w:rPr>
      </w:pPr>
      <w:r w:rsidRPr="00A02476">
        <w:rPr>
          <w:rFonts w:ascii="Arial" w:hAnsi="Arial" w:cs="Arial"/>
          <w:szCs w:val="22"/>
        </w:rPr>
        <w:t xml:space="preserve">Where pools are operating Collective Investment Schemes they have already or are considering setting up Qualified Investor Scheme fund structures in order to access the wide range of asset types necessary to effectively implement local authority pension fund investment strategies.  </w:t>
      </w:r>
    </w:p>
    <w:p w14:paraId="492324CF" w14:textId="77777777" w:rsidR="00B71ECF" w:rsidRPr="00A02476" w:rsidRDefault="00B71ECF" w:rsidP="00A02476">
      <w:pPr>
        <w:rPr>
          <w:rFonts w:ascii="Arial" w:hAnsi="Arial" w:cs="Arial"/>
          <w:szCs w:val="22"/>
        </w:rPr>
      </w:pPr>
    </w:p>
    <w:p w14:paraId="6447FC07" w14:textId="77777777" w:rsidR="00B71ECF" w:rsidRPr="00A02476" w:rsidRDefault="00B71ECF" w:rsidP="00A02476">
      <w:pPr>
        <w:rPr>
          <w:rFonts w:ascii="Arial" w:hAnsi="Arial" w:cs="Arial"/>
          <w:szCs w:val="22"/>
        </w:rPr>
      </w:pPr>
      <w:r w:rsidRPr="00A02476">
        <w:rPr>
          <w:rFonts w:ascii="Arial" w:hAnsi="Arial" w:cs="Arial"/>
          <w:szCs w:val="22"/>
        </w:rPr>
        <w:t xml:space="preserve">COLL 8.1.3 R states that the manager of the QIS must take reasonable care to ensure that ownership of units in that scheme is recorded in the register only for a person to whom such units may be promoted under COBS 4.12.4R. </w:t>
      </w:r>
    </w:p>
    <w:p w14:paraId="389C88C9" w14:textId="77777777" w:rsidR="00B71ECF" w:rsidRPr="00A02476" w:rsidRDefault="00B71ECF" w:rsidP="00A02476">
      <w:pPr>
        <w:rPr>
          <w:rFonts w:ascii="Arial" w:hAnsi="Arial" w:cs="Arial"/>
          <w:szCs w:val="22"/>
        </w:rPr>
      </w:pPr>
    </w:p>
    <w:p w14:paraId="6838649A" w14:textId="77777777" w:rsidR="00B71ECF" w:rsidRPr="00A02476" w:rsidRDefault="00B71ECF" w:rsidP="00A02476">
      <w:pPr>
        <w:rPr>
          <w:rFonts w:ascii="Arial" w:hAnsi="Arial" w:cs="Arial"/>
          <w:szCs w:val="22"/>
        </w:rPr>
      </w:pPr>
      <w:r w:rsidRPr="00A02476">
        <w:rPr>
          <w:rFonts w:ascii="Arial" w:hAnsi="Arial" w:cs="Arial"/>
          <w:szCs w:val="22"/>
        </w:rPr>
        <w:t>COBS 4.12.4R sets out the exemptions from 4.12.3 which states that retail clients should not be sold non-mainstream pooled investments. There are 13 exemptions including elected professional clients (exemption 7) and certified and self-certified sophisticated investors (exemptions 8 and 9) each of which could provide a means of local authorities accessing the full range of assets offered by the pool.</w:t>
      </w:r>
    </w:p>
    <w:p w14:paraId="56786320" w14:textId="77777777" w:rsidR="00B71ECF" w:rsidRPr="00A02476" w:rsidRDefault="00B71ECF" w:rsidP="00A02476">
      <w:pPr>
        <w:rPr>
          <w:rFonts w:ascii="Arial" w:hAnsi="Arial" w:cs="Arial"/>
          <w:szCs w:val="22"/>
        </w:rPr>
      </w:pPr>
    </w:p>
    <w:p w14:paraId="352EAA09" w14:textId="3F127487" w:rsidR="00B71ECF" w:rsidRPr="00A02476" w:rsidRDefault="00B71ECF" w:rsidP="00A02476">
      <w:pPr>
        <w:rPr>
          <w:rFonts w:ascii="Arial" w:hAnsi="Arial" w:cs="Arial"/>
          <w:szCs w:val="22"/>
        </w:rPr>
      </w:pPr>
      <w:r w:rsidRPr="00A02476">
        <w:rPr>
          <w:rFonts w:ascii="Arial" w:hAnsi="Arial" w:cs="Arial"/>
          <w:szCs w:val="22"/>
        </w:rPr>
        <w:t xml:space="preserve">However all the exemptions listed above include a level of uncertainty with regard to the required assessments and the potential for inconsistent application. We therefore request that FCA ensure that asset pools can provide an effective point of access for local authority pension funds, in line </w:t>
      </w:r>
      <w:r w:rsidR="00AA13CD">
        <w:rPr>
          <w:rFonts w:ascii="Arial" w:hAnsi="Arial" w:cs="Arial"/>
          <w:szCs w:val="22"/>
        </w:rPr>
        <w:t xml:space="preserve">with </w:t>
      </w:r>
      <w:r w:rsidRPr="00A02476">
        <w:rPr>
          <w:rFonts w:ascii="Arial" w:hAnsi="Arial" w:cs="Arial"/>
          <w:szCs w:val="22"/>
        </w:rPr>
        <w:t>Government policy objectives, by listing them as an exemption in their own right.</w:t>
      </w:r>
      <w:r w:rsidR="00AA13CD">
        <w:rPr>
          <w:rFonts w:ascii="Arial" w:hAnsi="Arial" w:cs="Arial"/>
          <w:szCs w:val="22"/>
        </w:rPr>
        <w:t xml:space="preserve">  </w:t>
      </w:r>
    </w:p>
    <w:p w14:paraId="5A3DF6C1" w14:textId="420D2DB8" w:rsidR="00B71ECF" w:rsidRPr="00A02476" w:rsidRDefault="00B71ECF" w:rsidP="00A02476">
      <w:pPr>
        <w:rPr>
          <w:rFonts w:ascii="Arial" w:hAnsi="Arial" w:cs="Arial"/>
          <w:szCs w:val="22"/>
        </w:rPr>
      </w:pPr>
      <w:r w:rsidRPr="00A02476">
        <w:rPr>
          <w:rFonts w:ascii="Arial" w:hAnsi="Arial" w:cs="Arial"/>
          <w:szCs w:val="22"/>
        </w:rPr>
        <w:t>This w</w:t>
      </w:r>
      <w:r w:rsidR="00587BC5" w:rsidRPr="00A02476">
        <w:rPr>
          <w:rFonts w:ascii="Arial" w:hAnsi="Arial" w:cs="Arial"/>
          <w:szCs w:val="22"/>
        </w:rPr>
        <w:t>ould result in local authority pension funds</w:t>
      </w:r>
      <w:r w:rsidRPr="00A02476">
        <w:rPr>
          <w:rFonts w:ascii="Arial" w:hAnsi="Arial" w:cs="Arial"/>
          <w:szCs w:val="22"/>
        </w:rPr>
        <w:t xml:space="preserve"> being able to invest in a full range of assets via Collective Investment Schemes without having to undergo an elective process. The elective process would still be required where authorities </w:t>
      </w:r>
      <w:r w:rsidRPr="00A02476">
        <w:rPr>
          <w:rFonts w:ascii="Arial" w:hAnsi="Arial" w:cs="Arial"/>
          <w:szCs w:val="22"/>
        </w:rPr>
        <w:lastRenderedPageBreak/>
        <w:t>continue to invest outside of pools or where pools do not operate Collective Investment Schemes</w:t>
      </w:r>
      <w:r w:rsidR="00587BC5" w:rsidRPr="00A02476">
        <w:rPr>
          <w:rFonts w:ascii="Arial" w:hAnsi="Arial" w:cs="Arial"/>
          <w:szCs w:val="22"/>
        </w:rPr>
        <w:t>, and for local authorities acting in their own right and not as a pension fund.</w:t>
      </w:r>
    </w:p>
    <w:p w14:paraId="0DD2D26A" w14:textId="77777777" w:rsidR="00B71ECF" w:rsidRPr="003D3422" w:rsidRDefault="00B71ECF" w:rsidP="00B71ECF">
      <w:pPr>
        <w:rPr>
          <w:rFonts w:ascii="Arial" w:eastAsiaTheme="minorHAnsi" w:hAnsi="Arial" w:cs="Arial"/>
          <w:b/>
          <w:szCs w:val="22"/>
        </w:rPr>
      </w:pPr>
    </w:p>
    <w:p w14:paraId="60ADF36F" w14:textId="77777777" w:rsidR="00B71ECF" w:rsidRPr="003D3422" w:rsidRDefault="00B71ECF" w:rsidP="00B71ECF">
      <w:pPr>
        <w:rPr>
          <w:rFonts w:ascii="Arial" w:eastAsiaTheme="minorHAnsi" w:hAnsi="Arial" w:cs="Arial"/>
          <w:b/>
          <w:szCs w:val="22"/>
        </w:rPr>
      </w:pPr>
    </w:p>
    <w:p w14:paraId="16B4213F" w14:textId="780E9326" w:rsidR="00B71ECF" w:rsidRPr="003D3422" w:rsidRDefault="00B71ECF" w:rsidP="00B71ECF">
      <w:pPr>
        <w:rPr>
          <w:rFonts w:ascii="Arial" w:eastAsiaTheme="minorHAnsi" w:hAnsi="Arial" w:cs="Arial"/>
          <w:b/>
          <w:szCs w:val="22"/>
        </w:rPr>
      </w:pPr>
      <w:r w:rsidRPr="003D3422">
        <w:rPr>
          <w:rFonts w:ascii="Arial" w:eastAsiaTheme="minorHAnsi" w:hAnsi="Arial" w:cs="Arial"/>
          <w:b/>
          <w:szCs w:val="22"/>
        </w:rPr>
        <w:t>Transitional issues</w:t>
      </w:r>
    </w:p>
    <w:p w14:paraId="176C1A3F" w14:textId="77777777" w:rsidR="00B71ECF" w:rsidRPr="003D3422" w:rsidRDefault="00B71ECF" w:rsidP="00B71ECF">
      <w:pPr>
        <w:rPr>
          <w:rFonts w:ascii="Arial" w:eastAsiaTheme="minorHAnsi" w:hAnsi="Arial" w:cs="Arial"/>
          <w:b/>
          <w:szCs w:val="22"/>
        </w:rPr>
      </w:pPr>
    </w:p>
    <w:p w14:paraId="579E1C47" w14:textId="03BB39CE" w:rsidR="00B71ECF" w:rsidRPr="00A02476" w:rsidRDefault="00B71ECF" w:rsidP="00A02476">
      <w:pPr>
        <w:rPr>
          <w:rFonts w:ascii="Arial" w:hAnsi="Arial" w:cs="Arial"/>
          <w:szCs w:val="22"/>
        </w:rPr>
      </w:pPr>
      <w:r w:rsidRPr="00A02476">
        <w:rPr>
          <w:rFonts w:ascii="Arial" w:hAnsi="Arial" w:cs="Arial"/>
          <w:szCs w:val="22"/>
        </w:rPr>
        <w:t>Local authorities will become retail clients on 3rd January 2018. There will be a transitional period (which is some cases will be years) before investments are switched to the pools and/or the authority successfully elects for professional status.</w:t>
      </w:r>
      <w:r w:rsidR="00AA13CD">
        <w:rPr>
          <w:rFonts w:ascii="Arial" w:hAnsi="Arial" w:cs="Arial"/>
          <w:szCs w:val="22"/>
        </w:rPr>
        <w:t xml:space="preserve">  </w:t>
      </w:r>
      <w:r w:rsidRPr="00A02476">
        <w:rPr>
          <w:rFonts w:ascii="Arial" w:hAnsi="Arial" w:cs="Arial"/>
          <w:szCs w:val="22"/>
        </w:rPr>
        <w:t>Firms and local authorities need clarity with regard to transactions made before that date as per se professional clients which could not be made after it as a retail clients. FCA are therefore requested to provide reassurance that such transactions may be honoured and will not have to be terminated on 3rd January 2018</w:t>
      </w:r>
    </w:p>
    <w:p w14:paraId="5C2D8933" w14:textId="77777777" w:rsidR="00A139E4" w:rsidRPr="003D3422" w:rsidRDefault="00A139E4" w:rsidP="00A139E4">
      <w:pPr>
        <w:rPr>
          <w:rFonts w:ascii="Arial" w:hAnsi="Arial" w:cs="Arial"/>
          <w:b/>
          <w:szCs w:val="22"/>
        </w:rPr>
      </w:pPr>
    </w:p>
    <w:p w14:paraId="1B17BF6B" w14:textId="77777777" w:rsidR="00A139E4" w:rsidRPr="003D3422" w:rsidRDefault="00A139E4" w:rsidP="00A139E4">
      <w:pPr>
        <w:spacing w:line="240" w:lineRule="auto"/>
        <w:jc w:val="both"/>
        <w:rPr>
          <w:rFonts w:ascii="Arial" w:hAnsi="Arial" w:cs="Arial"/>
          <w:b/>
          <w:szCs w:val="22"/>
        </w:rPr>
      </w:pPr>
    </w:p>
    <w:p w14:paraId="4BF14522" w14:textId="0CBEB169" w:rsidR="00E20E7D" w:rsidRPr="003D3422" w:rsidRDefault="00E20E7D" w:rsidP="00B71ECF">
      <w:pPr>
        <w:spacing w:line="240" w:lineRule="auto"/>
        <w:jc w:val="both"/>
        <w:rPr>
          <w:rFonts w:ascii="Arial" w:hAnsi="Arial" w:cs="Arial"/>
          <w:b/>
          <w:szCs w:val="22"/>
        </w:rPr>
      </w:pPr>
      <w:r w:rsidRPr="003D3422">
        <w:rPr>
          <w:rFonts w:ascii="Arial" w:hAnsi="Arial" w:cs="Arial"/>
          <w:b/>
          <w:szCs w:val="22"/>
        </w:rPr>
        <w:t>Response to questions in the consultation</w:t>
      </w:r>
      <w:r w:rsidR="00FD253D" w:rsidRPr="003D3422">
        <w:rPr>
          <w:rFonts w:ascii="Arial" w:hAnsi="Arial" w:cs="Arial"/>
          <w:b/>
          <w:szCs w:val="22"/>
        </w:rPr>
        <w:t xml:space="preserve"> directly affecting local authorities</w:t>
      </w:r>
      <w:r w:rsidR="00C23912" w:rsidRPr="003D3422">
        <w:rPr>
          <w:rFonts w:ascii="Arial" w:hAnsi="Arial" w:cs="Arial"/>
          <w:b/>
          <w:szCs w:val="22"/>
        </w:rPr>
        <w:t xml:space="preserve"> (questions 16 and 17).</w:t>
      </w:r>
    </w:p>
    <w:p w14:paraId="5716D4FB" w14:textId="77777777" w:rsidR="00E20E7D" w:rsidRPr="003D3422" w:rsidRDefault="00E20E7D" w:rsidP="00E20E7D">
      <w:pPr>
        <w:spacing w:line="240" w:lineRule="auto"/>
        <w:jc w:val="both"/>
        <w:rPr>
          <w:rFonts w:ascii="Arial" w:hAnsi="Arial" w:cs="Arial"/>
          <w:b/>
          <w:szCs w:val="22"/>
        </w:rPr>
      </w:pPr>
    </w:p>
    <w:p w14:paraId="20B3A1CF" w14:textId="3F3D1DBE" w:rsidR="00FD253D" w:rsidRPr="003D3422" w:rsidRDefault="00FD253D" w:rsidP="00E20E7D">
      <w:pPr>
        <w:spacing w:line="240" w:lineRule="auto"/>
        <w:jc w:val="both"/>
        <w:rPr>
          <w:rFonts w:ascii="Arial" w:hAnsi="Arial" w:cs="Arial"/>
          <w:i/>
          <w:szCs w:val="22"/>
        </w:rPr>
      </w:pPr>
      <w:r w:rsidRPr="00A02476">
        <w:rPr>
          <w:rFonts w:ascii="Arial" w:hAnsi="Arial" w:cs="Arial"/>
          <w:i/>
          <w:szCs w:val="22"/>
        </w:rPr>
        <w:t>Question 16</w:t>
      </w:r>
      <w:r w:rsidR="00A139E4" w:rsidRPr="00A02476">
        <w:rPr>
          <w:rFonts w:ascii="Arial" w:hAnsi="Arial" w:cs="Arial"/>
          <w:i/>
          <w:szCs w:val="22"/>
        </w:rPr>
        <w:t>:</w:t>
      </w:r>
      <w:r w:rsidR="00AA13CD" w:rsidRPr="00A02476">
        <w:rPr>
          <w:rFonts w:ascii="Arial" w:hAnsi="Arial" w:cs="Arial"/>
          <w:i/>
          <w:szCs w:val="22"/>
        </w:rPr>
        <w:t xml:space="preserve">  </w:t>
      </w:r>
      <w:r w:rsidRPr="003D3422">
        <w:rPr>
          <w:rFonts w:ascii="Arial" w:hAnsi="Arial" w:cs="Arial"/>
          <w:i/>
          <w:szCs w:val="22"/>
        </w:rPr>
        <w:t>Do you agree with our approach to revise the quantitative thresholds as part of the opt</w:t>
      </w:r>
      <w:r w:rsidRPr="003D3422">
        <w:rPr>
          <w:rFonts w:ascii="MS Gothic" w:eastAsia="MS Gothic" w:hAnsi="MS Gothic" w:cs="MS Gothic" w:hint="eastAsia"/>
          <w:i/>
          <w:szCs w:val="22"/>
        </w:rPr>
        <w:t>‑</w:t>
      </w:r>
      <w:r w:rsidRPr="003D3422">
        <w:rPr>
          <w:rFonts w:ascii="Arial" w:hAnsi="Arial" w:cs="Arial"/>
          <w:i/>
          <w:szCs w:val="22"/>
        </w:rPr>
        <w:t xml:space="preserve">up criteria for local authorities by introducing a mandatory portfolio size requirement of £15m? </w:t>
      </w:r>
      <w:r w:rsidR="00AA13CD">
        <w:rPr>
          <w:rFonts w:ascii="Arial" w:hAnsi="Arial" w:cs="Arial"/>
          <w:i/>
          <w:szCs w:val="22"/>
        </w:rPr>
        <w:t>I</w:t>
      </w:r>
      <w:r w:rsidRPr="003D3422">
        <w:rPr>
          <w:rFonts w:ascii="Arial" w:hAnsi="Arial" w:cs="Arial"/>
          <w:i/>
          <w:szCs w:val="22"/>
        </w:rPr>
        <w:t>f not, what do you believe is the appropriate minimum portfolio size requirement, and why?</w:t>
      </w:r>
    </w:p>
    <w:p w14:paraId="0136AFBA" w14:textId="77777777" w:rsidR="00FD253D" w:rsidRPr="003D3422" w:rsidRDefault="00FD253D" w:rsidP="00E20E7D">
      <w:pPr>
        <w:spacing w:line="240" w:lineRule="auto"/>
        <w:jc w:val="both"/>
        <w:rPr>
          <w:rFonts w:ascii="Arial" w:hAnsi="Arial" w:cs="Arial"/>
          <w:szCs w:val="22"/>
        </w:rPr>
      </w:pPr>
    </w:p>
    <w:p w14:paraId="2B5E39E9" w14:textId="5075932D" w:rsidR="00A139E4" w:rsidRPr="00A02476" w:rsidRDefault="00A139E4" w:rsidP="00A02476">
      <w:pPr>
        <w:rPr>
          <w:rFonts w:ascii="Arial" w:hAnsi="Arial" w:cs="Arial"/>
          <w:szCs w:val="22"/>
        </w:rPr>
      </w:pPr>
      <w:r w:rsidRPr="00A02476">
        <w:rPr>
          <w:rFonts w:ascii="Arial" w:hAnsi="Arial" w:cs="Arial"/>
          <w:szCs w:val="22"/>
        </w:rPr>
        <w:t>The quantitative test (based on COBS 3.5.3R(2)) requires that the criteria in paragraph (a) and the criteria in either paragraph (b) or (c) must be satisfied</w:t>
      </w:r>
      <w:r w:rsidR="00AA13CD">
        <w:rPr>
          <w:rFonts w:ascii="Arial" w:hAnsi="Arial" w:cs="Arial"/>
          <w:szCs w:val="22"/>
        </w:rPr>
        <w:t>:</w:t>
      </w:r>
    </w:p>
    <w:p w14:paraId="20039B92" w14:textId="77777777" w:rsidR="00587BC5" w:rsidRPr="003D3422" w:rsidRDefault="00587BC5" w:rsidP="00587BC5">
      <w:pPr>
        <w:widowControl/>
        <w:spacing w:after="160" w:line="259" w:lineRule="auto"/>
        <w:ind w:left="720"/>
        <w:contextualSpacing/>
        <w:rPr>
          <w:rFonts w:ascii="Arial" w:eastAsiaTheme="minorHAnsi" w:hAnsi="Arial" w:cs="Arial"/>
          <w:szCs w:val="22"/>
        </w:rPr>
      </w:pPr>
    </w:p>
    <w:p w14:paraId="58E060AE" w14:textId="77777777" w:rsidR="00A139E4" w:rsidRPr="003D3422" w:rsidRDefault="00A139E4" w:rsidP="00A02476">
      <w:pPr>
        <w:widowControl/>
        <w:spacing w:after="160" w:line="259" w:lineRule="auto"/>
        <w:rPr>
          <w:rFonts w:ascii="Arial" w:eastAsiaTheme="minorHAnsi" w:hAnsi="Arial" w:cs="Arial"/>
          <w:i/>
          <w:szCs w:val="22"/>
        </w:rPr>
      </w:pPr>
      <w:r w:rsidRPr="003D3422">
        <w:rPr>
          <w:rFonts w:ascii="Arial" w:eastAsiaTheme="minorHAnsi" w:hAnsi="Arial" w:cs="Arial"/>
          <w:i/>
          <w:szCs w:val="22"/>
        </w:rPr>
        <w:t>(a) the size of the client’s financial instrument portfolio, defined as including cash deposits and financial instruments, exceeds £15,000,000</w:t>
      </w:r>
    </w:p>
    <w:p w14:paraId="32E9E687" w14:textId="77777777" w:rsidR="00A139E4" w:rsidRPr="003D3422" w:rsidRDefault="00A139E4" w:rsidP="00A02476">
      <w:pPr>
        <w:widowControl/>
        <w:spacing w:after="160" w:line="259" w:lineRule="auto"/>
        <w:rPr>
          <w:rFonts w:ascii="Arial" w:eastAsiaTheme="minorHAnsi" w:hAnsi="Arial" w:cs="Arial"/>
          <w:i/>
          <w:szCs w:val="22"/>
        </w:rPr>
      </w:pPr>
      <w:r w:rsidRPr="003D3422">
        <w:rPr>
          <w:rFonts w:ascii="Arial" w:eastAsiaTheme="minorHAnsi" w:hAnsi="Arial" w:cs="Arial"/>
          <w:i/>
          <w:szCs w:val="22"/>
        </w:rPr>
        <w:t>(b) the client has carried out transactions, in significant size, on the relevant market at an average frequency of 10 per quarter over the previous four quarters</w:t>
      </w:r>
    </w:p>
    <w:p w14:paraId="523D916C" w14:textId="77777777" w:rsidR="00A139E4" w:rsidRPr="003D3422" w:rsidRDefault="00A139E4" w:rsidP="00A02476">
      <w:pPr>
        <w:widowControl/>
        <w:spacing w:after="160" w:line="259" w:lineRule="auto"/>
        <w:rPr>
          <w:rFonts w:ascii="Arial" w:eastAsiaTheme="minorHAnsi" w:hAnsi="Arial" w:cs="Arial"/>
          <w:i/>
          <w:szCs w:val="22"/>
        </w:rPr>
      </w:pPr>
      <w:r w:rsidRPr="003D3422">
        <w:rPr>
          <w:rFonts w:ascii="Arial" w:eastAsiaTheme="minorHAnsi" w:hAnsi="Arial" w:cs="Arial"/>
          <w:i/>
          <w:szCs w:val="22"/>
        </w:rPr>
        <w:t>(c) the client works or has worked in the financial sector for at least one year in a professional position, which requires knowledge of the transactions or services envisaged</w:t>
      </w:r>
    </w:p>
    <w:p w14:paraId="3F8DC76E" w14:textId="26AAD798" w:rsidR="00C23912" w:rsidRDefault="00973C00" w:rsidP="00AA13CD">
      <w:pPr>
        <w:rPr>
          <w:rFonts w:ascii="Arial" w:hAnsi="Arial" w:cs="Arial"/>
          <w:szCs w:val="22"/>
        </w:rPr>
      </w:pPr>
      <w:r w:rsidRPr="00A02476">
        <w:rPr>
          <w:rFonts w:ascii="Arial" w:hAnsi="Arial" w:cs="Arial"/>
          <w:szCs w:val="22"/>
        </w:rPr>
        <w:t xml:space="preserve">The </w:t>
      </w:r>
      <w:r w:rsidR="00587BC5" w:rsidRPr="00A02476">
        <w:rPr>
          <w:rFonts w:ascii="Arial" w:hAnsi="Arial" w:cs="Arial"/>
          <w:szCs w:val="22"/>
        </w:rPr>
        <w:t>size of the portfolio</w:t>
      </w:r>
      <w:r w:rsidRPr="00A02476">
        <w:rPr>
          <w:rFonts w:ascii="Arial" w:hAnsi="Arial" w:cs="Arial"/>
          <w:szCs w:val="22"/>
        </w:rPr>
        <w:t xml:space="preserve"> cut off (a) has been set so that any local authority that does not qualify under this criterion</w:t>
      </w:r>
      <w:r w:rsidR="00587BC5" w:rsidRPr="00A02476">
        <w:rPr>
          <w:rFonts w:ascii="Arial" w:hAnsi="Arial" w:cs="Arial"/>
          <w:szCs w:val="22"/>
        </w:rPr>
        <w:t xml:space="preserve"> alone </w:t>
      </w:r>
      <w:r w:rsidRPr="00A02476">
        <w:rPr>
          <w:rFonts w:ascii="Arial" w:hAnsi="Arial" w:cs="Arial"/>
          <w:szCs w:val="22"/>
        </w:rPr>
        <w:t xml:space="preserve">cannot qualify for opt up and so </w:t>
      </w:r>
      <w:r w:rsidR="00587BC5" w:rsidRPr="00A02476">
        <w:rPr>
          <w:rFonts w:ascii="Arial" w:hAnsi="Arial" w:cs="Arial"/>
          <w:szCs w:val="22"/>
        </w:rPr>
        <w:t>be excluded in all cases from Mi</w:t>
      </w:r>
      <w:r w:rsidRPr="00A02476">
        <w:rPr>
          <w:rFonts w:ascii="Arial" w:hAnsi="Arial" w:cs="Arial"/>
          <w:szCs w:val="22"/>
        </w:rPr>
        <w:t xml:space="preserve">FID scope business. </w:t>
      </w:r>
      <w:r w:rsidR="00C23912" w:rsidRPr="00A02476">
        <w:rPr>
          <w:rFonts w:ascii="Arial" w:hAnsi="Arial" w:cs="Arial"/>
          <w:szCs w:val="22"/>
        </w:rPr>
        <w:t>The consultation states that the £15,000,000 cut off is to exclude smaller authorities from opt up status</w:t>
      </w:r>
      <w:r w:rsidRPr="00A02476">
        <w:rPr>
          <w:rFonts w:ascii="Arial" w:hAnsi="Arial" w:cs="Arial"/>
          <w:szCs w:val="22"/>
        </w:rPr>
        <w:t xml:space="preserve"> as “t</w:t>
      </w:r>
      <w:r w:rsidR="00460421" w:rsidRPr="00A02476">
        <w:rPr>
          <w:rFonts w:ascii="Arial" w:hAnsi="Arial" w:cs="Arial"/>
          <w:szCs w:val="22"/>
        </w:rPr>
        <w:t>he size of a local authority often aligns with its level of knowledge and expertise”</w:t>
      </w:r>
      <w:r w:rsidR="00282F8B" w:rsidRPr="00A02476">
        <w:rPr>
          <w:rFonts w:ascii="Arial" w:hAnsi="Arial" w:cs="Arial"/>
          <w:szCs w:val="22"/>
        </w:rPr>
        <w:t xml:space="preserve">. No evidence has been offered to </w:t>
      </w:r>
      <w:r w:rsidRPr="00A02476">
        <w:rPr>
          <w:rFonts w:ascii="Arial" w:hAnsi="Arial" w:cs="Arial"/>
          <w:szCs w:val="22"/>
        </w:rPr>
        <w:t xml:space="preserve">back up this assertion and to </w:t>
      </w:r>
      <w:r w:rsidR="00282F8B" w:rsidRPr="00A02476">
        <w:rPr>
          <w:rFonts w:ascii="Arial" w:hAnsi="Arial" w:cs="Arial"/>
          <w:szCs w:val="22"/>
        </w:rPr>
        <w:t xml:space="preserve">demonstrate that </w:t>
      </w:r>
      <w:r w:rsidR="008927B0" w:rsidRPr="00A02476">
        <w:rPr>
          <w:rFonts w:ascii="Arial" w:hAnsi="Arial" w:cs="Arial"/>
          <w:szCs w:val="22"/>
        </w:rPr>
        <w:t>smaller authorities are per se not capable of holding professional status; indeed the FCA’s own analysis in the consultation states that a number of local authorities currently carrying out MiFID scope business will be excluded in the future due to this criterion.</w:t>
      </w:r>
    </w:p>
    <w:p w14:paraId="10A82495" w14:textId="77777777" w:rsidR="00AA13CD" w:rsidRPr="00AA13CD" w:rsidRDefault="00AA13CD" w:rsidP="00AA13CD">
      <w:pPr>
        <w:rPr>
          <w:rFonts w:ascii="Arial" w:hAnsi="Arial" w:cs="Arial"/>
          <w:szCs w:val="22"/>
        </w:rPr>
      </w:pPr>
    </w:p>
    <w:p w14:paraId="7F8E45FF" w14:textId="2382C2A1" w:rsidR="00AA13CD" w:rsidRDefault="008927B0" w:rsidP="00A02476">
      <w:pPr>
        <w:rPr>
          <w:rFonts w:ascii="Arial" w:hAnsi="Arial" w:cs="Arial"/>
          <w:szCs w:val="22"/>
        </w:rPr>
      </w:pPr>
      <w:r w:rsidRPr="00AA13CD">
        <w:rPr>
          <w:rFonts w:ascii="Arial" w:hAnsi="Arial" w:cs="Arial"/>
          <w:szCs w:val="22"/>
        </w:rPr>
        <w:t>The requirement for the cut</w:t>
      </w:r>
      <w:r w:rsidR="00AA13CD">
        <w:rPr>
          <w:rFonts w:ascii="Arial" w:hAnsi="Arial" w:cs="Arial"/>
          <w:szCs w:val="22"/>
        </w:rPr>
        <w:t>-</w:t>
      </w:r>
      <w:r w:rsidRPr="00AA13CD">
        <w:rPr>
          <w:rFonts w:ascii="Arial" w:hAnsi="Arial" w:cs="Arial"/>
          <w:szCs w:val="22"/>
        </w:rPr>
        <w:t>off point to be £15,000,000</w:t>
      </w:r>
      <w:r w:rsidR="00587BC5" w:rsidRPr="00AA13CD">
        <w:rPr>
          <w:rFonts w:ascii="Arial" w:hAnsi="Arial" w:cs="Arial"/>
          <w:szCs w:val="22"/>
        </w:rPr>
        <w:t xml:space="preserve"> has come from the FCA</w:t>
      </w:r>
      <w:r w:rsidRPr="00AA13CD">
        <w:rPr>
          <w:rFonts w:ascii="Arial" w:hAnsi="Arial" w:cs="Arial"/>
          <w:szCs w:val="22"/>
        </w:rPr>
        <w:t>; the EU directive was based on 500,000 euros and no evidence based reason has been given</w:t>
      </w:r>
      <w:r w:rsidR="00973C00" w:rsidRPr="00AA13CD">
        <w:rPr>
          <w:rFonts w:ascii="Arial" w:hAnsi="Arial" w:cs="Arial"/>
          <w:szCs w:val="22"/>
        </w:rPr>
        <w:t xml:space="preserve"> in the consultation</w:t>
      </w:r>
      <w:r w:rsidRPr="00AA13CD">
        <w:rPr>
          <w:rFonts w:ascii="Arial" w:hAnsi="Arial" w:cs="Arial"/>
          <w:szCs w:val="22"/>
        </w:rPr>
        <w:t xml:space="preserve"> for this not </w:t>
      </w:r>
      <w:r w:rsidR="00587BC5" w:rsidRPr="00AA13CD">
        <w:rPr>
          <w:rFonts w:ascii="Arial" w:hAnsi="Arial" w:cs="Arial"/>
          <w:szCs w:val="22"/>
        </w:rPr>
        <w:t xml:space="preserve">to </w:t>
      </w:r>
      <w:r w:rsidRPr="00AA13CD">
        <w:rPr>
          <w:rFonts w:ascii="Arial" w:hAnsi="Arial" w:cs="Arial"/>
          <w:szCs w:val="22"/>
        </w:rPr>
        <w:t>be used in the UK’s implementation.</w:t>
      </w:r>
      <w:r w:rsidR="00973C00" w:rsidRPr="00AA13CD">
        <w:rPr>
          <w:rFonts w:ascii="Arial" w:hAnsi="Arial" w:cs="Arial"/>
          <w:szCs w:val="22"/>
        </w:rPr>
        <w:t xml:space="preserve"> As is acknowledged in the consultation, a portfolio size of 500,000 euros would not be a significant bar to UK local authorities</w:t>
      </w:r>
    </w:p>
    <w:p w14:paraId="20C74C86" w14:textId="436ABE17" w:rsidR="008927B0" w:rsidRPr="00AA13CD" w:rsidRDefault="008927B0" w:rsidP="00A02476">
      <w:pPr>
        <w:rPr>
          <w:rFonts w:ascii="Arial" w:hAnsi="Arial" w:cs="Arial"/>
          <w:szCs w:val="22"/>
        </w:rPr>
      </w:pPr>
    </w:p>
    <w:p w14:paraId="0BE97747" w14:textId="5BE12860" w:rsidR="00460421" w:rsidRDefault="00973C00" w:rsidP="00A02476">
      <w:pPr>
        <w:rPr>
          <w:rFonts w:ascii="Arial" w:hAnsi="Arial" w:cs="Arial"/>
          <w:szCs w:val="22"/>
        </w:rPr>
      </w:pPr>
      <w:r w:rsidRPr="00AA13CD">
        <w:rPr>
          <w:rFonts w:ascii="Arial" w:hAnsi="Arial" w:cs="Arial"/>
          <w:szCs w:val="22"/>
        </w:rPr>
        <w:t>The consul</w:t>
      </w:r>
      <w:r w:rsidR="00460421" w:rsidRPr="00AA13CD">
        <w:rPr>
          <w:rFonts w:ascii="Arial" w:hAnsi="Arial" w:cs="Arial"/>
          <w:szCs w:val="22"/>
        </w:rPr>
        <w:t xml:space="preserve">tation states that typical portfolio size for </w:t>
      </w:r>
      <w:r w:rsidR="00587BC5" w:rsidRPr="00AA13CD">
        <w:rPr>
          <w:rFonts w:ascii="Arial" w:hAnsi="Arial" w:cs="Arial"/>
          <w:szCs w:val="22"/>
        </w:rPr>
        <w:t>a</w:t>
      </w:r>
      <w:r w:rsidR="00460421" w:rsidRPr="00AA13CD">
        <w:rPr>
          <w:rFonts w:ascii="Arial" w:hAnsi="Arial" w:cs="Arial"/>
          <w:szCs w:val="22"/>
        </w:rPr>
        <w:t xml:space="preserve"> s</w:t>
      </w:r>
      <w:r w:rsidRPr="00AA13CD">
        <w:rPr>
          <w:rFonts w:ascii="Arial" w:hAnsi="Arial" w:cs="Arial"/>
          <w:szCs w:val="22"/>
        </w:rPr>
        <w:t>maller</w:t>
      </w:r>
      <w:r w:rsidR="00460421" w:rsidRPr="00AA13CD">
        <w:rPr>
          <w:rFonts w:ascii="Arial" w:hAnsi="Arial" w:cs="Arial"/>
          <w:szCs w:val="22"/>
        </w:rPr>
        <w:t xml:space="preserve"> local authority is £10,000,000, yet the analysis carried out by the FCA itself in the consultation</w:t>
      </w:r>
      <w:r w:rsidRPr="00AA13CD">
        <w:rPr>
          <w:rFonts w:ascii="Arial" w:hAnsi="Arial" w:cs="Arial"/>
          <w:szCs w:val="22"/>
        </w:rPr>
        <w:t xml:space="preserve"> concl</w:t>
      </w:r>
      <w:r w:rsidR="00460421" w:rsidRPr="00AA13CD">
        <w:rPr>
          <w:rFonts w:ascii="Arial" w:hAnsi="Arial" w:cs="Arial"/>
          <w:szCs w:val="22"/>
        </w:rPr>
        <w:t>udes that the</w:t>
      </w:r>
      <w:r w:rsidRPr="00AA13CD">
        <w:rPr>
          <w:rFonts w:ascii="Arial" w:hAnsi="Arial" w:cs="Arial"/>
          <w:szCs w:val="22"/>
        </w:rPr>
        <w:t xml:space="preserve"> £15,000,000 cut off would excl</w:t>
      </w:r>
      <w:r w:rsidR="00460421" w:rsidRPr="00AA13CD">
        <w:rPr>
          <w:rFonts w:ascii="Arial" w:hAnsi="Arial" w:cs="Arial"/>
          <w:szCs w:val="22"/>
        </w:rPr>
        <w:t xml:space="preserve">ude about half of all UK local </w:t>
      </w:r>
      <w:r w:rsidR="00460421" w:rsidRPr="00AA13CD">
        <w:rPr>
          <w:rFonts w:ascii="Arial" w:hAnsi="Arial" w:cs="Arial"/>
          <w:szCs w:val="22"/>
        </w:rPr>
        <w:lastRenderedPageBreak/>
        <w:t>authorities.</w:t>
      </w:r>
    </w:p>
    <w:p w14:paraId="710B5C4F" w14:textId="77777777" w:rsidR="00AA13CD" w:rsidRPr="00AA13CD" w:rsidRDefault="00AA13CD" w:rsidP="00A02476">
      <w:pPr>
        <w:rPr>
          <w:rFonts w:ascii="Arial" w:hAnsi="Arial" w:cs="Arial"/>
          <w:szCs w:val="22"/>
        </w:rPr>
      </w:pPr>
    </w:p>
    <w:p w14:paraId="3F0B1E38" w14:textId="0E82BD1B" w:rsidR="008927B0" w:rsidRPr="00A02476" w:rsidRDefault="008927B0" w:rsidP="00A02476">
      <w:pPr>
        <w:rPr>
          <w:rFonts w:ascii="Arial" w:hAnsi="Arial" w:cs="Arial"/>
          <w:szCs w:val="22"/>
        </w:rPr>
      </w:pPr>
      <w:r w:rsidRPr="00AA13CD">
        <w:rPr>
          <w:rFonts w:ascii="Arial" w:hAnsi="Arial" w:cs="Arial"/>
          <w:szCs w:val="22"/>
        </w:rPr>
        <w:t>The FCA’s analysis</w:t>
      </w:r>
      <w:r w:rsidR="00460421" w:rsidRPr="00AA13CD">
        <w:rPr>
          <w:rFonts w:ascii="Arial" w:hAnsi="Arial" w:cs="Arial"/>
          <w:szCs w:val="22"/>
        </w:rPr>
        <w:t xml:space="preserve"> in the consultation</w:t>
      </w:r>
      <w:r w:rsidRPr="00AA13CD">
        <w:rPr>
          <w:rFonts w:ascii="Arial" w:hAnsi="Arial" w:cs="Arial"/>
          <w:szCs w:val="22"/>
        </w:rPr>
        <w:t xml:space="preserve"> of the size of local authority investment portfolios is based on annual statistics</w:t>
      </w:r>
      <w:r w:rsidR="0090792D" w:rsidRPr="00AA13CD">
        <w:rPr>
          <w:rFonts w:ascii="Arial" w:hAnsi="Arial" w:cs="Arial"/>
          <w:szCs w:val="22"/>
        </w:rPr>
        <w:t xml:space="preserve"> published by DCLG. This is problematical as it only shows a snapshot of the investment portfolio, including cash balances, at a single year end date. Due to</w:t>
      </w:r>
      <w:r w:rsidR="007F213A" w:rsidRPr="00AA13CD">
        <w:rPr>
          <w:rFonts w:ascii="Arial" w:hAnsi="Arial" w:cs="Arial"/>
          <w:szCs w:val="22"/>
        </w:rPr>
        <w:t xml:space="preserve"> significant in year cash flows such as </w:t>
      </w:r>
      <w:r w:rsidR="0090792D" w:rsidRPr="00AA13CD">
        <w:rPr>
          <w:rFonts w:ascii="Arial" w:hAnsi="Arial" w:cs="Arial"/>
          <w:szCs w:val="22"/>
        </w:rPr>
        <w:t xml:space="preserve">influxes of tax revenues such as council tax and </w:t>
      </w:r>
      <w:r w:rsidR="00973C00" w:rsidRPr="00AA13CD">
        <w:rPr>
          <w:rFonts w:ascii="Arial" w:hAnsi="Arial" w:cs="Arial"/>
          <w:szCs w:val="22"/>
        </w:rPr>
        <w:t>business rates,</w:t>
      </w:r>
      <w:r w:rsidR="0090792D" w:rsidRPr="00AA13CD">
        <w:rPr>
          <w:rFonts w:ascii="Arial" w:hAnsi="Arial" w:cs="Arial"/>
          <w:szCs w:val="22"/>
        </w:rPr>
        <w:t xml:space="preserve"> receipts of central government grants, a</w:t>
      </w:r>
      <w:r w:rsidR="007F213A" w:rsidRPr="00AA13CD">
        <w:rPr>
          <w:rFonts w:ascii="Arial" w:hAnsi="Arial" w:cs="Arial"/>
          <w:szCs w:val="22"/>
        </w:rPr>
        <w:t>nd</w:t>
      </w:r>
      <w:r w:rsidR="0090792D" w:rsidRPr="00AA13CD">
        <w:rPr>
          <w:rFonts w:ascii="Arial" w:hAnsi="Arial" w:cs="Arial"/>
          <w:szCs w:val="22"/>
        </w:rPr>
        <w:t xml:space="preserve"> significant payments made out over a year, a local authority’s daily balances can vary significantly between different dates. Using a large figure such as £15,000,000 (as opposed to the EU directive figure of 500,000 euros) me</w:t>
      </w:r>
      <w:r w:rsidR="00460421" w:rsidRPr="00AA13CD">
        <w:rPr>
          <w:rFonts w:ascii="Arial" w:hAnsi="Arial" w:cs="Arial"/>
          <w:szCs w:val="22"/>
        </w:rPr>
        <w:t>a</w:t>
      </w:r>
      <w:r w:rsidR="0090792D" w:rsidRPr="00AA13CD">
        <w:rPr>
          <w:rFonts w:ascii="Arial" w:hAnsi="Arial" w:cs="Arial"/>
          <w:szCs w:val="22"/>
        </w:rPr>
        <w:t xml:space="preserve">ns that there will be days when a snapshot of local authority balances </w:t>
      </w:r>
      <w:r w:rsidR="00973C00" w:rsidRPr="00AA13CD">
        <w:rPr>
          <w:rFonts w:ascii="Arial" w:hAnsi="Arial" w:cs="Arial"/>
          <w:szCs w:val="22"/>
        </w:rPr>
        <w:t xml:space="preserve">will show that </w:t>
      </w:r>
      <w:r w:rsidR="0090792D" w:rsidRPr="00AA13CD">
        <w:rPr>
          <w:rFonts w:ascii="Arial" w:hAnsi="Arial" w:cs="Arial"/>
          <w:szCs w:val="22"/>
        </w:rPr>
        <w:t>even some of the biggest local authorities in</w:t>
      </w:r>
      <w:r w:rsidR="00460421" w:rsidRPr="00AA13CD">
        <w:rPr>
          <w:rFonts w:ascii="Arial" w:hAnsi="Arial" w:cs="Arial"/>
          <w:szCs w:val="22"/>
        </w:rPr>
        <w:t xml:space="preserve"> the country will not qualify</w:t>
      </w:r>
      <w:r w:rsidR="00973C00" w:rsidRPr="00AA13CD">
        <w:rPr>
          <w:rFonts w:ascii="Arial" w:hAnsi="Arial" w:cs="Arial"/>
          <w:szCs w:val="22"/>
        </w:rPr>
        <w:t xml:space="preserve"> </w:t>
      </w:r>
      <w:r w:rsidR="00973C00" w:rsidRPr="00A02476">
        <w:rPr>
          <w:rFonts w:ascii="Arial" w:hAnsi="Arial" w:cs="Arial"/>
          <w:szCs w:val="22"/>
        </w:rPr>
        <w:t>on that day</w:t>
      </w:r>
      <w:r w:rsidR="007F213A" w:rsidRPr="00A02476">
        <w:rPr>
          <w:rFonts w:ascii="Arial" w:hAnsi="Arial" w:cs="Arial"/>
          <w:szCs w:val="22"/>
        </w:rPr>
        <w:t>.  Thi</w:t>
      </w:r>
      <w:r w:rsidR="0090792D" w:rsidRPr="00A02476">
        <w:rPr>
          <w:rFonts w:ascii="Arial" w:hAnsi="Arial" w:cs="Arial"/>
          <w:szCs w:val="22"/>
        </w:rPr>
        <w:t>s can be seen from the DCLG statistics published for the year after that used in the analysis in the consultation</w:t>
      </w:r>
      <w:r w:rsidR="00460421" w:rsidRPr="00A02476">
        <w:rPr>
          <w:rFonts w:ascii="Arial" w:hAnsi="Arial" w:cs="Arial"/>
          <w:szCs w:val="22"/>
        </w:rPr>
        <w:t xml:space="preserve"> which shows some very large authorities with balances below £15,000,000 on that date. It is therefore doubtful whether the proposal as drafted will achieve the</w:t>
      </w:r>
      <w:r w:rsidR="00973C00" w:rsidRPr="00A02476">
        <w:rPr>
          <w:rFonts w:ascii="Arial" w:hAnsi="Arial" w:cs="Arial"/>
          <w:szCs w:val="22"/>
        </w:rPr>
        <w:t>ir</w:t>
      </w:r>
      <w:r w:rsidR="0084186F" w:rsidRPr="00A02476">
        <w:rPr>
          <w:rFonts w:ascii="Arial" w:hAnsi="Arial" w:cs="Arial"/>
          <w:szCs w:val="22"/>
        </w:rPr>
        <w:t xml:space="preserve"> stated aim, and may </w:t>
      </w:r>
      <w:r w:rsidR="007F213A" w:rsidRPr="00A02476">
        <w:rPr>
          <w:rFonts w:ascii="Arial" w:hAnsi="Arial" w:cs="Arial"/>
          <w:szCs w:val="22"/>
        </w:rPr>
        <w:t>in fact</w:t>
      </w:r>
      <w:r w:rsidR="0084186F" w:rsidRPr="00A02476">
        <w:rPr>
          <w:rFonts w:ascii="Arial" w:hAnsi="Arial" w:cs="Arial"/>
          <w:szCs w:val="22"/>
        </w:rPr>
        <w:t xml:space="preserve"> exclude the va</w:t>
      </w:r>
      <w:r w:rsidR="007F213A" w:rsidRPr="00A02476">
        <w:rPr>
          <w:rFonts w:ascii="Arial" w:hAnsi="Arial" w:cs="Arial"/>
          <w:szCs w:val="22"/>
        </w:rPr>
        <w:t xml:space="preserve">st majority of local </w:t>
      </w:r>
      <w:r w:rsidR="0084186F" w:rsidRPr="00A02476">
        <w:rPr>
          <w:rFonts w:ascii="Arial" w:hAnsi="Arial" w:cs="Arial"/>
          <w:szCs w:val="22"/>
        </w:rPr>
        <w:t>authorities</w:t>
      </w:r>
      <w:r w:rsidR="007F213A" w:rsidRPr="00A02476">
        <w:rPr>
          <w:rFonts w:ascii="Arial" w:hAnsi="Arial" w:cs="Arial"/>
          <w:szCs w:val="22"/>
        </w:rPr>
        <w:t xml:space="preserve"> acting in a </w:t>
      </w:r>
      <w:proofErr w:type="spellStart"/>
      <w:r w:rsidR="007F213A" w:rsidRPr="00A02476">
        <w:rPr>
          <w:rFonts w:ascii="Arial" w:hAnsi="Arial" w:cs="Arial"/>
          <w:szCs w:val="22"/>
        </w:rPr>
        <w:t>non pension</w:t>
      </w:r>
      <w:proofErr w:type="spellEnd"/>
      <w:r w:rsidR="007F213A" w:rsidRPr="00A02476">
        <w:rPr>
          <w:rFonts w:ascii="Arial" w:hAnsi="Arial" w:cs="Arial"/>
          <w:szCs w:val="22"/>
        </w:rPr>
        <w:t xml:space="preserve"> fund capacity</w:t>
      </w:r>
      <w:r w:rsidR="0084186F" w:rsidRPr="00A02476">
        <w:rPr>
          <w:rFonts w:ascii="Arial" w:hAnsi="Arial" w:cs="Arial"/>
          <w:szCs w:val="22"/>
        </w:rPr>
        <w:t>.</w:t>
      </w:r>
    </w:p>
    <w:p w14:paraId="5BD5BCD3" w14:textId="77777777" w:rsidR="00C23912" w:rsidRPr="00A02476" w:rsidRDefault="00C23912" w:rsidP="00A02476">
      <w:pPr>
        <w:rPr>
          <w:rFonts w:ascii="Arial" w:hAnsi="Arial" w:cs="Arial"/>
          <w:szCs w:val="22"/>
        </w:rPr>
      </w:pPr>
    </w:p>
    <w:p w14:paraId="0D55FAC6" w14:textId="22099E5F" w:rsidR="0084186F" w:rsidRPr="00A02476" w:rsidRDefault="00C23912" w:rsidP="00A02476">
      <w:pPr>
        <w:rPr>
          <w:rFonts w:ascii="Arial" w:hAnsi="Arial" w:cs="Arial"/>
          <w:szCs w:val="22"/>
        </w:rPr>
      </w:pPr>
      <w:r w:rsidRPr="00A02476">
        <w:rPr>
          <w:rFonts w:ascii="Arial" w:hAnsi="Arial" w:cs="Arial"/>
          <w:szCs w:val="22"/>
        </w:rPr>
        <w:t>Pension Fund Authorities will all qualify under (a)</w:t>
      </w:r>
      <w:r w:rsidR="00A139E4" w:rsidRPr="00A02476">
        <w:rPr>
          <w:rFonts w:ascii="Arial" w:hAnsi="Arial" w:cs="Arial"/>
          <w:szCs w:val="22"/>
        </w:rPr>
        <w:t xml:space="preserve"> however except in very part</w:t>
      </w:r>
      <w:r w:rsidRPr="00A02476">
        <w:rPr>
          <w:rFonts w:ascii="Arial" w:hAnsi="Arial" w:cs="Arial"/>
          <w:szCs w:val="22"/>
        </w:rPr>
        <w:t xml:space="preserve">icular circumstances </w:t>
      </w:r>
      <w:r w:rsidR="00973C00" w:rsidRPr="00A02476">
        <w:rPr>
          <w:rFonts w:ascii="Arial" w:hAnsi="Arial" w:cs="Arial"/>
          <w:szCs w:val="22"/>
        </w:rPr>
        <w:t xml:space="preserve">they </w:t>
      </w:r>
      <w:r w:rsidR="00A139E4" w:rsidRPr="00A02476">
        <w:rPr>
          <w:rFonts w:ascii="Arial" w:hAnsi="Arial" w:cs="Arial"/>
          <w:szCs w:val="22"/>
        </w:rPr>
        <w:t>will not</w:t>
      </w:r>
      <w:r w:rsidRPr="00A02476">
        <w:rPr>
          <w:rFonts w:ascii="Arial" w:hAnsi="Arial" w:cs="Arial"/>
          <w:szCs w:val="22"/>
        </w:rPr>
        <w:t xml:space="preserve"> under (b)</w:t>
      </w:r>
      <w:r w:rsidR="00A139E4" w:rsidRPr="00A02476">
        <w:rPr>
          <w:rFonts w:ascii="Arial" w:hAnsi="Arial" w:cs="Arial"/>
          <w:szCs w:val="22"/>
        </w:rPr>
        <w:t>. The LGPS Advisory Board’s investigations in this area indicated that only 3 LGPS funds (all with internal investment operations) would have any possibility of meeting this test.</w:t>
      </w:r>
      <w:r w:rsidR="00696342">
        <w:rPr>
          <w:rFonts w:ascii="Arial" w:hAnsi="Arial" w:cs="Arial"/>
          <w:szCs w:val="22"/>
        </w:rPr>
        <w:t xml:space="preserve">  </w:t>
      </w:r>
      <w:r w:rsidR="00A139E4" w:rsidRPr="00A02476">
        <w:rPr>
          <w:rFonts w:ascii="Arial" w:hAnsi="Arial" w:cs="Arial"/>
          <w:szCs w:val="22"/>
        </w:rPr>
        <w:t xml:space="preserve">This means that </w:t>
      </w:r>
      <w:r w:rsidR="00973C00" w:rsidRPr="00A02476">
        <w:rPr>
          <w:rFonts w:ascii="Arial" w:hAnsi="Arial" w:cs="Arial"/>
          <w:szCs w:val="22"/>
        </w:rPr>
        <w:t>only l</w:t>
      </w:r>
      <w:r w:rsidR="00A139E4" w:rsidRPr="00A02476">
        <w:rPr>
          <w:rFonts w:ascii="Arial" w:hAnsi="Arial" w:cs="Arial"/>
          <w:szCs w:val="22"/>
        </w:rPr>
        <w:t>ocal authorities</w:t>
      </w:r>
      <w:r w:rsidR="0084186F" w:rsidRPr="00A02476">
        <w:rPr>
          <w:rFonts w:ascii="Arial" w:hAnsi="Arial" w:cs="Arial"/>
          <w:szCs w:val="22"/>
        </w:rPr>
        <w:t>, including pension fund authorities</w:t>
      </w:r>
      <w:r w:rsidR="007F213A" w:rsidRPr="00A02476">
        <w:rPr>
          <w:rFonts w:ascii="Arial" w:hAnsi="Arial" w:cs="Arial"/>
          <w:szCs w:val="22"/>
        </w:rPr>
        <w:t>,</w:t>
      </w:r>
      <w:r w:rsidR="0084186F" w:rsidRPr="00A02476">
        <w:rPr>
          <w:rFonts w:ascii="Arial" w:hAnsi="Arial" w:cs="Arial"/>
          <w:szCs w:val="22"/>
        </w:rPr>
        <w:t xml:space="preserve"> </w:t>
      </w:r>
      <w:r w:rsidR="00A139E4" w:rsidRPr="00A02476">
        <w:rPr>
          <w:rFonts w:ascii="Arial" w:hAnsi="Arial" w:cs="Arial"/>
          <w:szCs w:val="22"/>
        </w:rPr>
        <w:t>able to pass test</w:t>
      </w:r>
      <w:r w:rsidR="00973C00" w:rsidRPr="00A02476">
        <w:rPr>
          <w:rFonts w:ascii="Arial" w:hAnsi="Arial" w:cs="Arial"/>
          <w:szCs w:val="22"/>
        </w:rPr>
        <w:t>s</w:t>
      </w:r>
      <w:r w:rsidR="00A139E4" w:rsidRPr="00A02476">
        <w:rPr>
          <w:rFonts w:ascii="Arial" w:hAnsi="Arial" w:cs="Arial"/>
          <w:szCs w:val="22"/>
        </w:rPr>
        <w:t xml:space="preserve"> (c)</w:t>
      </w:r>
      <w:r w:rsidR="00973C00" w:rsidRPr="00A02476">
        <w:rPr>
          <w:rFonts w:ascii="Arial" w:hAnsi="Arial" w:cs="Arial"/>
          <w:szCs w:val="22"/>
        </w:rPr>
        <w:t xml:space="preserve"> and (a) will be able </w:t>
      </w:r>
      <w:r w:rsidR="00A139E4" w:rsidRPr="00A02476">
        <w:rPr>
          <w:rFonts w:ascii="Arial" w:hAnsi="Arial" w:cs="Arial"/>
          <w:szCs w:val="22"/>
        </w:rPr>
        <w:t xml:space="preserve">to successfully complete the opt up process. </w:t>
      </w:r>
      <w:r w:rsidR="0084186F" w:rsidRPr="00A02476">
        <w:rPr>
          <w:rFonts w:ascii="Arial" w:hAnsi="Arial" w:cs="Arial"/>
          <w:szCs w:val="22"/>
        </w:rPr>
        <w:t xml:space="preserve">This means test </w:t>
      </w:r>
      <w:r w:rsidR="007F213A" w:rsidRPr="00A02476">
        <w:rPr>
          <w:rFonts w:ascii="Arial" w:hAnsi="Arial" w:cs="Arial"/>
          <w:szCs w:val="22"/>
        </w:rPr>
        <w:t>(</w:t>
      </w:r>
      <w:r w:rsidR="0084186F" w:rsidRPr="00A02476">
        <w:rPr>
          <w:rFonts w:ascii="Arial" w:hAnsi="Arial" w:cs="Arial"/>
          <w:szCs w:val="22"/>
        </w:rPr>
        <w:t>c</w:t>
      </w:r>
      <w:r w:rsidR="007F213A" w:rsidRPr="00A02476">
        <w:rPr>
          <w:rFonts w:ascii="Arial" w:hAnsi="Arial" w:cs="Arial"/>
          <w:szCs w:val="22"/>
        </w:rPr>
        <w:t>)</w:t>
      </w:r>
      <w:r w:rsidR="0084186F" w:rsidRPr="00A02476">
        <w:rPr>
          <w:rFonts w:ascii="Arial" w:hAnsi="Arial" w:cs="Arial"/>
          <w:szCs w:val="22"/>
        </w:rPr>
        <w:t xml:space="preserve"> is particularly important.</w:t>
      </w:r>
    </w:p>
    <w:p w14:paraId="06EE34A9" w14:textId="77777777" w:rsidR="0084186F" w:rsidRPr="00A02476" w:rsidRDefault="0084186F" w:rsidP="00A02476">
      <w:pPr>
        <w:rPr>
          <w:rFonts w:ascii="Arial" w:hAnsi="Arial" w:cs="Arial"/>
          <w:szCs w:val="22"/>
        </w:rPr>
      </w:pPr>
    </w:p>
    <w:p w14:paraId="7072FAC4" w14:textId="36B0EF2D" w:rsidR="00A139E4" w:rsidRPr="00A02476" w:rsidRDefault="0084186F" w:rsidP="00A02476">
      <w:pPr>
        <w:rPr>
          <w:rFonts w:ascii="Arial" w:hAnsi="Arial" w:cs="Arial"/>
          <w:szCs w:val="22"/>
        </w:rPr>
      </w:pPr>
      <w:r w:rsidRPr="00A02476">
        <w:rPr>
          <w:rFonts w:ascii="Arial" w:hAnsi="Arial" w:cs="Arial"/>
          <w:szCs w:val="22"/>
        </w:rPr>
        <w:t xml:space="preserve">With test (c), as with the qualitative test, </w:t>
      </w:r>
      <w:r w:rsidR="00A139E4" w:rsidRPr="00A02476">
        <w:rPr>
          <w:rFonts w:ascii="Arial" w:hAnsi="Arial" w:cs="Arial"/>
          <w:szCs w:val="22"/>
        </w:rPr>
        <w:t xml:space="preserve">the uncertainty lies in who is being assessed. COBS 3.5.4 does not apply therefore it is ‘the client’ against whom the assessment is made. </w:t>
      </w:r>
    </w:p>
    <w:p w14:paraId="060B324F" w14:textId="77777777" w:rsidR="00A139E4" w:rsidRPr="00A02476" w:rsidRDefault="00A139E4" w:rsidP="00A02476">
      <w:pPr>
        <w:rPr>
          <w:rFonts w:ascii="Arial" w:hAnsi="Arial" w:cs="Arial"/>
          <w:szCs w:val="22"/>
        </w:rPr>
      </w:pPr>
    </w:p>
    <w:p w14:paraId="7695B2F9" w14:textId="77777777" w:rsidR="00A139E4" w:rsidRPr="00A02476" w:rsidRDefault="00A139E4" w:rsidP="00A02476">
      <w:pPr>
        <w:rPr>
          <w:rFonts w:ascii="Arial" w:hAnsi="Arial" w:cs="Arial"/>
          <w:szCs w:val="22"/>
        </w:rPr>
      </w:pPr>
      <w:r w:rsidRPr="00A02476">
        <w:rPr>
          <w:rFonts w:ascii="Arial" w:hAnsi="Arial" w:cs="Arial"/>
          <w:szCs w:val="22"/>
        </w:rPr>
        <w:t xml:space="preserve">COBS 3.2 defines a client as </w:t>
      </w:r>
    </w:p>
    <w:p w14:paraId="67FFF616" w14:textId="77777777" w:rsidR="00A139E4" w:rsidRPr="00A02476" w:rsidRDefault="00A139E4" w:rsidP="00A02476">
      <w:pPr>
        <w:rPr>
          <w:rFonts w:ascii="Arial" w:hAnsi="Arial" w:cs="Arial"/>
          <w:szCs w:val="22"/>
        </w:rPr>
      </w:pPr>
    </w:p>
    <w:p w14:paraId="61909F1A" w14:textId="77777777" w:rsidR="00A139E4" w:rsidRPr="00696342" w:rsidRDefault="00A139E4" w:rsidP="00A02476">
      <w:pPr>
        <w:rPr>
          <w:rFonts w:ascii="Arial" w:eastAsiaTheme="minorHAnsi" w:hAnsi="Arial" w:cs="Arial"/>
          <w:i/>
          <w:szCs w:val="22"/>
        </w:rPr>
      </w:pPr>
      <w:r w:rsidRPr="00696342">
        <w:rPr>
          <w:rFonts w:ascii="Arial" w:eastAsiaTheme="minorHAnsi" w:hAnsi="Arial" w:cs="Arial"/>
          <w:i/>
          <w:szCs w:val="22"/>
        </w:rPr>
        <w:t>A person to whom a firm provides, intends to provide or has provided:</w:t>
      </w:r>
    </w:p>
    <w:p w14:paraId="0434A4FB" w14:textId="77777777" w:rsidR="00A139E4" w:rsidRPr="00696342" w:rsidRDefault="00A139E4" w:rsidP="00A02476">
      <w:pPr>
        <w:rPr>
          <w:rFonts w:ascii="Arial" w:eastAsiaTheme="minorHAnsi" w:hAnsi="Arial" w:cs="Arial"/>
          <w:i/>
          <w:szCs w:val="22"/>
        </w:rPr>
      </w:pPr>
      <w:r w:rsidRPr="00696342">
        <w:rPr>
          <w:rFonts w:ascii="Arial" w:eastAsiaTheme="minorHAnsi" w:hAnsi="Arial" w:cs="Arial"/>
          <w:i/>
          <w:szCs w:val="22"/>
        </w:rPr>
        <w:t>a service in the course of carrying on a regulated activity; or</w:t>
      </w:r>
    </w:p>
    <w:p w14:paraId="72A9E050" w14:textId="660D5C81" w:rsidR="00A139E4" w:rsidRPr="00696342" w:rsidRDefault="00A139E4" w:rsidP="00A02476">
      <w:pPr>
        <w:rPr>
          <w:rFonts w:ascii="Arial" w:eastAsiaTheme="minorHAnsi" w:hAnsi="Arial" w:cs="Arial"/>
          <w:i/>
          <w:szCs w:val="22"/>
        </w:rPr>
      </w:pPr>
      <w:r w:rsidRPr="00696342">
        <w:rPr>
          <w:rFonts w:ascii="Arial" w:eastAsiaTheme="minorHAnsi" w:hAnsi="Arial" w:cs="Arial"/>
          <w:i/>
          <w:szCs w:val="22"/>
        </w:rPr>
        <w:t>in the case of MiFID or equivalent third country business, an ancillary service</w:t>
      </w:r>
      <w:r w:rsidR="0055318E" w:rsidRPr="00696342">
        <w:rPr>
          <w:rFonts w:ascii="Arial" w:eastAsiaTheme="minorHAnsi" w:hAnsi="Arial" w:cs="Arial"/>
          <w:i/>
          <w:szCs w:val="22"/>
        </w:rPr>
        <w:t>.</w:t>
      </w:r>
    </w:p>
    <w:p w14:paraId="7A0F4090" w14:textId="77777777" w:rsidR="00A139E4" w:rsidRPr="00A02476" w:rsidRDefault="00A139E4" w:rsidP="00A02476">
      <w:pPr>
        <w:rPr>
          <w:rFonts w:ascii="Arial" w:hAnsi="Arial" w:cs="Arial"/>
          <w:szCs w:val="22"/>
        </w:rPr>
      </w:pPr>
    </w:p>
    <w:p w14:paraId="362CDCE8" w14:textId="29A2B155" w:rsidR="00A139E4" w:rsidRPr="00A02476" w:rsidRDefault="00A139E4" w:rsidP="00A02476">
      <w:pPr>
        <w:rPr>
          <w:rFonts w:ascii="Arial" w:hAnsi="Arial" w:cs="Arial"/>
          <w:szCs w:val="22"/>
        </w:rPr>
      </w:pPr>
      <w:r w:rsidRPr="00A02476">
        <w:rPr>
          <w:rFonts w:ascii="Arial" w:hAnsi="Arial" w:cs="Arial"/>
          <w:szCs w:val="22"/>
        </w:rPr>
        <w:t>The Handbook Glossary defines a person as</w:t>
      </w:r>
      <w:r w:rsidR="00696342">
        <w:rPr>
          <w:rFonts w:ascii="Arial" w:hAnsi="Arial" w:cs="Arial"/>
          <w:szCs w:val="22"/>
        </w:rPr>
        <w:t>:</w:t>
      </w:r>
    </w:p>
    <w:p w14:paraId="72238F36" w14:textId="77777777" w:rsidR="00A139E4" w:rsidRPr="00A02476" w:rsidRDefault="00A139E4" w:rsidP="00A02476">
      <w:pPr>
        <w:rPr>
          <w:rFonts w:ascii="Arial" w:hAnsi="Arial" w:cs="Arial"/>
          <w:szCs w:val="22"/>
        </w:rPr>
      </w:pPr>
    </w:p>
    <w:p w14:paraId="593A1023" w14:textId="77777777" w:rsidR="00A139E4" w:rsidRPr="00696342" w:rsidRDefault="00A139E4" w:rsidP="00A02476">
      <w:pPr>
        <w:rPr>
          <w:rFonts w:ascii="Arial" w:eastAsiaTheme="minorHAnsi" w:hAnsi="Arial" w:cs="Arial"/>
          <w:i/>
          <w:szCs w:val="22"/>
        </w:rPr>
      </w:pPr>
      <w:r w:rsidRPr="00696342">
        <w:rPr>
          <w:rFonts w:ascii="Arial" w:eastAsiaTheme="minorHAnsi" w:hAnsi="Arial" w:cs="Arial"/>
          <w:i/>
          <w:szCs w:val="22"/>
        </w:rPr>
        <w:t xml:space="preserve">(in accordance with the Interpretation Act 1978) any person, including a body of persons corporate or </w:t>
      </w:r>
      <w:proofErr w:type="spellStart"/>
      <w:r w:rsidRPr="00696342">
        <w:rPr>
          <w:rFonts w:ascii="Arial" w:eastAsiaTheme="minorHAnsi" w:hAnsi="Arial" w:cs="Arial"/>
          <w:i/>
          <w:szCs w:val="22"/>
        </w:rPr>
        <w:t>unincorporate</w:t>
      </w:r>
      <w:proofErr w:type="spellEnd"/>
      <w:r w:rsidRPr="00696342">
        <w:rPr>
          <w:rFonts w:ascii="Arial" w:eastAsiaTheme="minorHAnsi" w:hAnsi="Arial" w:cs="Arial"/>
          <w:i/>
          <w:szCs w:val="22"/>
        </w:rPr>
        <w:t xml:space="preserve"> (that is, a natural person, a legal person and, for example, a partnership).</w:t>
      </w:r>
    </w:p>
    <w:p w14:paraId="238A02EE" w14:textId="77777777" w:rsidR="00A139E4" w:rsidRPr="00A02476" w:rsidRDefault="00A139E4" w:rsidP="00A02476">
      <w:pPr>
        <w:rPr>
          <w:rFonts w:ascii="Arial" w:hAnsi="Arial" w:cs="Arial"/>
          <w:szCs w:val="22"/>
        </w:rPr>
      </w:pPr>
    </w:p>
    <w:p w14:paraId="009F33BD" w14:textId="77777777" w:rsidR="00A139E4" w:rsidRPr="00A02476" w:rsidRDefault="00A139E4" w:rsidP="00A02476">
      <w:pPr>
        <w:rPr>
          <w:rFonts w:ascii="Arial" w:hAnsi="Arial" w:cs="Arial"/>
          <w:szCs w:val="22"/>
        </w:rPr>
      </w:pPr>
      <w:r w:rsidRPr="00A02476">
        <w:rPr>
          <w:rFonts w:ascii="Arial" w:hAnsi="Arial" w:cs="Arial"/>
          <w:szCs w:val="22"/>
        </w:rPr>
        <w:t>A local authority is a corporate body therefore the above would lead to the conclusion that the assessment in (c) should be against that body corporate. However the wording of (c) does not comfortably fit with that conclusion as it reads as if the firm should be assessing an individual. Although a local authority as a body corporate can possess knowledge of the transactions or services envisaged how can it work in the financial sector for at least one year in a professional position?</w:t>
      </w:r>
    </w:p>
    <w:p w14:paraId="3BFAA14F" w14:textId="5EDCB36B" w:rsidR="00E9643A" w:rsidRPr="003D3422" w:rsidRDefault="00E9643A" w:rsidP="00A02476">
      <w:pPr>
        <w:rPr>
          <w:rFonts w:ascii="Arial" w:hAnsi="Arial" w:cs="Arial"/>
          <w:szCs w:val="22"/>
        </w:rPr>
      </w:pPr>
    </w:p>
    <w:p w14:paraId="53B71926" w14:textId="22010693" w:rsidR="00FD253D" w:rsidRPr="00A02476" w:rsidRDefault="00E20E7D" w:rsidP="00A02476">
      <w:pPr>
        <w:rPr>
          <w:rFonts w:ascii="Arial" w:hAnsi="Arial" w:cs="Arial"/>
          <w:i/>
          <w:szCs w:val="22"/>
        </w:rPr>
      </w:pPr>
      <w:r w:rsidRPr="00A02476">
        <w:rPr>
          <w:rFonts w:ascii="Arial" w:hAnsi="Arial" w:cs="Arial"/>
          <w:i/>
          <w:szCs w:val="22"/>
        </w:rPr>
        <w:t xml:space="preserve">Question </w:t>
      </w:r>
      <w:r w:rsidR="00FD253D" w:rsidRPr="00A02476">
        <w:rPr>
          <w:rFonts w:ascii="Arial" w:hAnsi="Arial" w:cs="Arial"/>
          <w:i/>
          <w:szCs w:val="22"/>
        </w:rPr>
        <w:t>17</w:t>
      </w:r>
      <w:r w:rsidR="00696342" w:rsidRPr="00A02476">
        <w:rPr>
          <w:rFonts w:ascii="Arial" w:hAnsi="Arial" w:cs="Arial"/>
          <w:i/>
          <w:szCs w:val="22"/>
        </w:rPr>
        <w:t xml:space="preserve">: </w:t>
      </w:r>
      <w:r w:rsidR="00FD253D" w:rsidRPr="00696342">
        <w:rPr>
          <w:rFonts w:ascii="Arial" w:hAnsi="Arial" w:cs="Arial"/>
          <w:i/>
          <w:szCs w:val="22"/>
        </w:rPr>
        <w:t>Do you agree with our approach to extend these proposals to non</w:t>
      </w:r>
      <w:r w:rsidR="00FD253D" w:rsidRPr="00712E64">
        <w:rPr>
          <w:rFonts w:ascii="MS Gothic" w:eastAsia="MS Gothic" w:hAnsi="MS Gothic" w:cs="MS Gothic"/>
          <w:i/>
          <w:szCs w:val="22"/>
        </w:rPr>
        <w:t>‑</w:t>
      </w:r>
      <w:r w:rsidR="00FD253D" w:rsidRPr="00712E64">
        <w:rPr>
          <w:rFonts w:ascii="Arial" w:hAnsi="Arial" w:cs="Arial"/>
          <w:i/>
          <w:szCs w:val="22"/>
        </w:rPr>
        <w:t>MiFID scope business? If not, please give reasons why</w:t>
      </w:r>
      <w:r w:rsidR="00FD253D" w:rsidRPr="00A02476">
        <w:rPr>
          <w:rFonts w:ascii="Arial" w:hAnsi="Arial" w:cs="Arial"/>
          <w:i/>
          <w:szCs w:val="22"/>
        </w:rPr>
        <w:t>.</w:t>
      </w:r>
    </w:p>
    <w:p w14:paraId="324CAD88" w14:textId="77777777" w:rsidR="00FD253D" w:rsidRPr="00A02476" w:rsidRDefault="00FD253D" w:rsidP="00A02476">
      <w:pPr>
        <w:rPr>
          <w:rFonts w:ascii="Arial" w:hAnsi="Arial" w:cs="Arial"/>
          <w:szCs w:val="22"/>
        </w:rPr>
      </w:pPr>
    </w:p>
    <w:p w14:paraId="6D5EBA1D" w14:textId="4EE241F0" w:rsidR="004532AF" w:rsidRPr="003D3422" w:rsidRDefault="00956D62" w:rsidP="004846D7">
      <w:pPr>
        <w:spacing w:line="240" w:lineRule="auto"/>
        <w:jc w:val="both"/>
        <w:rPr>
          <w:rFonts w:ascii="Arial" w:hAnsi="Arial" w:cs="Arial"/>
          <w:b/>
          <w:szCs w:val="22"/>
          <w:u w:val="single"/>
        </w:rPr>
      </w:pPr>
      <w:r w:rsidRPr="00AA13CD">
        <w:rPr>
          <w:rFonts w:ascii="Arial" w:hAnsi="Arial" w:cs="Arial"/>
          <w:szCs w:val="22"/>
        </w:rPr>
        <w:t>As outlined in the rest of this respo</w:t>
      </w:r>
      <w:r w:rsidR="0084186F" w:rsidRPr="00AA13CD">
        <w:rPr>
          <w:rFonts w:ascii="Arial" w:hAnsi="Arial" w:cs="Arial"/>
          <w:szCs w:val="22"/>
        </w:rPr>
        <w:t>n</w:t>
      </w:r>
      <w:r w:rsidRPr="00AA13CD">
        <w:rPr>
          <w:rFonts w:ascii="Arial" w:hAnsi="Arial" w:cs="Arial"/>
          <w:szCs w:val="22"/>
        </w:rPr>
        <w:t>se, we believe the proposed approach to the implementa</w:t>
      </w:r>
      <w:r w:rsidR="0084186F" w:rsidRPr="00AA13CD">
        <w:rPr>
          <w:rFonts w:ascii="Arial" w:hAnsi="Arial" w:cs="Arial"/>
          <w:szCs w:val="22"/>
        </w:rPr>
        <w:t>tion needs to be rethought befo</w:t>
      </w:r>
      <w:r w:rsidRPr="00696342">
        <w:rPr>
          <w:rFonts w:ascii="Arial" w:hAnsi="Arial" w:cs="Arial"/>
          <w:szCs w:val="22"/>
        </w:rPr>
        <w:t>re any consideration can be given to</w:t>
      </w:r>
      <w:r w:rsidR="00286C04" w:rsidRPr="00696342">
        <w:rPr>
          <w:rFonts w:ascii="Arial" w:hAnsi="Arial" w:cs="Arial"/>
          <w:szCs w:val="22"/>
        </w:rPr>
        <w:t xml:space="preserve"> </w:t>
      </w:r>
      <w:r w:rsidR="0055318E" w:rsidRPr="00696342">
        <w:rPr>
          <w:rFonts w:ascii="Arial" w:hAnsi="Arial" w:cs="Arial"/>
          <w:szCs w:val="22"/>
        </w:rPr>
        <w:t>extending proposals</w:t>
      </w:r>
      <w:r w:rsidRPr="00696342">
        <w:rPr>
          <w:rFonts w:ascii="Arial" w:hAnsi="Arial" w:cs="Arial"/>
          <w:szCs w:val="22"/>
        </w:rPr>
        <w:t xml:space="preserve"> to non-MiFID scope</w:t>
      </w:r>
      <w:r w:rsidRPr="00712E64">
        <w:rPr>
          <w:rFonts w:ascii="Arial" w:hAnsi="Arial" w:cs="Arial"/>
          <w:szCs w:val="22"/>
        </w:rPr>
        <w:t xml:space="preserve"> business. Since we believe the current </w:t>
      </w:r>
      <w:r w:rsidRPr="00712E64">
        <w:rPr>
          <w:rFonts w:ascii="Arial" w:hAnsi="Arial" w:cs="Arial"/>
          <w:szCs w:val="22"/>
        </w:rPr>
        <w:lastRenderedPageBreak/>
        <w:t>proposals to be flawed, we cannot se</w:t>
      </w:r>
      <w:r w:rsidRPr="00A02476">
        <w:rPr>
          <w:rFonts w:ascii="Arial" w:hAnsi="Arial" w:cs="Arial"/>
          <w:szCs w:val="22"/>
        </w:rPr>
        <w:t>e any advantage in extending them.</w:t>
      </w:r>
    </w:p>
    <w:sectPr w:rsidR="004532AF" w:rsidRPr="003D3422">
      <w:headerReference w:type="default" r:id="rId17"/>
      <w:type w:val="continuous"/>
      <w:pgSz w:w="11906" w:h="16838"/>
      <w:pgMar w:top="839" w:right="2495" w:bottom="851" w:left="1418" w:header="335" w:footer="575" w:gutter="0"/>
      <w:cols w:space="34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69C7BB" w14:textId="77777777" w:rsidR="00AA13CD" w:rsidRDefault="00AA13CD">
      <w:r>
        <w:separator/>
      </w:r>
    </w:p>
  </w:endnote>
  <w:endnote w:type="continuationSeparator" w:id="0">
    <w:p w14:paraId="2DEA1F03" w14:textId="77777777" w:rsidR="00AA13CD" w:rsidRDefault="00AA1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CA33E8B7-BE70-48B5-8954-7ADD09F8DD99}"/>
    <w:embedBold r:id="rId2" w:fontKey="{C3073209-9AB2-42B2-87AD-63C5B8891395}"/>
    <w:embedItalic r:id="rId3" w:fontKey="{AB967E95-BD8A-4811-9BD0-38AD346E0C5E}"/>
  </w:font>
  <w:font w:name="Frutiger 45 Light">
    <w:altName w:val="Raavi"/>
    <w:panose1 w:val="020B0500000000000000"/>
    <w:charset w:val="00"/>
    <w:family w:val="swiss"/>
    <w:pitch w:val="variable"/>
    <w:sig w:usb0="00000003" w:usb1="00000000" w:usb2="00000000" w:usb3="00000000" w:csb0="00000001" w:csb1="00000000"/>
  </w:font>
  <w:font w:name="Frutiger 55 Roman">
    <w:altName w:val="Raavi"/>
    <w:panose1 w:val="020B0800000000000000"/>
    <w:charset w:val="00"/>
    <w:family w:val="swiss"/>
    <w:pitch w:val="variable"/>
    <w:sig w:usb0="00000003" w:usb1="00000000" w:usb2="00000000" w:usb3="00000000" w:csb0="00000001" w:csb1="00000000"/>
  </w:font>
  <w:font w:name="LGA Logos">
    <w:altName w:val="Courier New"/>
    <w:charset w:val="00"/>
    <w:family w:val="auto"/>
    <w:pitch w:val="variable"/>
    <w:sig w:usb0="00000003" w:usb1="00000000" w:usb2="00000000" w:usb3="00000000" w:csb0="00000001" w:csb1="00000000"/>
    <w:embedRegular r:id="rId4" w:fontKey="{446B8257-A94B-4E61-9460-620061891084}"/>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FE3CABAC-70C2-43C0-8F84-3B0D5F90145E}"/>
  </w:font>
  <w:font w:name="Verdana">
    <w:panose1 w:val="020B0604030504040204"/>
    <w:charset w:val="00"/>
    <w:family w:val="swiss"/>
    <w:pitch w:val="variable"/>
    <w:sig w:usb0="A10006FF" w:usb1="4000205B" w:usb2="00000010" w:usb3="00000000" w:csb0="0000019F" w:csb1="00000000"/>
    <w:embedRegular r:id="rId6" w:fontKey="{ED11B0EB-8C32-4DA5-891F-2F74243F4013}"/>
  </w:font>
  <w:font w:name="MS Gothic">
    <w:altName w:val="ＭＳ ゴシック"/>
    <w:panose1 w:val="020B0609070205080204"/>
    <w:charset w:val="80"/>
    <w:family w:val="modern"/>
    <w:pitch w:val="fixed"/>
    <w:sig w:usb0="E00002FF" w:usb1="6AC7FDFB" w:usb2="00000012" w:usb3="00000000" w:csb0="0002009F" w:csb1="00000000"/>
    <w:embedItalic r:id="rId7" w:subsetted="1" w:fontKey="{50EB2595-4F43-4537-AF90-6DFF1FFB70BB}"/>
  </w:font>
  <w:font w:name="Calibri Light">
    <w:panose1 w:val="020F0302020204030204"/>
    <w:charset w:val="00"/>
    <w:family w:val="swiss"/>
    <w:pitch w:val="variable"/>
    <w:sig w:usb0="A00002EF" w:usb1="4000207B" w:usb2="00000000" w:usb3="00000000" w:csb0="0000019F" w:csb1="00000000"/>
    <w:embedRegular r:id="rId8" w:fontKey="{F1897A4A-E49E-477E-8174-5ECA3C3D3A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B5C2C" w14:textId="77777777" w:rsidR="00AA13CD" w:rsidRDefault="00AA13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1" w:name="_GoBack" w:displacedByCustomXml="next"/>
  <w:bookmarkEnd w:id="1" w:displacedByCustomXml="next"/>
  <w:sdt>
    <w:sdtPr>
      <w:id w:val="2128119198"/>
      <w:docPartObj>
        <w:docPartGallery w:val="Page Numbers (Bottom of Page)"/>
        <w:docPartUnique/>
      </w:docPartObj>
    </w:sdtPr>
    <w:sdtEndPr>
      <w:rPr>
        <w:noProof/>
      </w:rPr>
    </w:sdtEndPr>
    <w:sdtContent>
      <w:p w14:paraId="7703E5C4" w14:textId="717E2EBB" w:rsidR="00FD2641" w:rsidRDefault="00FD2641">
        <w:pPr>
          <w:pStyle w:val="Footer"/>
          <w:jc w:val="right"/>
        </w:pPr>
        <w:r>
          <w:fldChar w:fldCharType="begin"/>
        </w:r>
        <w:r>
          <w:instrText xml:space="preserve"> PAGE   \* MERGEFORMAT </w:instrText>
        </w:r>
        <w:r>
          <w:fldChar w:fldCharType="separate"/>
        </w:r>
        <w:r w:rsidR="00A63FF2">
          <w:rPr>
            <w:noProof/>
          </w:rPr>
          <w:t>1</w:t>
        </w:r>
        <w:r>
          <w:rPr>
            <w:noProof/>
          </w:rPr>
          <w:fldChar w:fldCharType="end"/>
        </w:r>
      </w:p>
    </w:sdtContent>
  </w:sdt>
  <w:p w14:paraId="5F3669F4" w14:textId="77777777" w:rsidR="00AA13CD" w:rsidRPr="004D36CF" w:rsidRDefault="00AA13CD">
    <w:pPr>
      <w:pStyle w:val="Footer"/>
      <w:rPr>
        <w:rFonts w:ascii="Arial"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C8AD4" w14:textId="77777777" w:rsidR="00AA13CD" w:rsidRDefault="00AA13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DD0755" w14:textId="77777777" w:rsidR="00AA13CD" w:rsidRDefault="00AA13CD">
      <w:r>
        <w:separator/>
      </w:r>
    </w:p>
  </w:footnote>
  <w:footnote w:type="continuationSeparator" w:id="0">
    <w:p w14:paraId="5D4E9C7D" w14:textId="77777777" w:rsidR="00AA13CD" w:rsidRDefault="00AA13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6D613" w14:textId="77777777" w:rsidR="00AA13CD" w:rsidRDefault="00AA13C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 w:type="dxa"/>
      <w:tblLayout w:type="fixed"/>
      <w:tblCellMar>
        <w:left w:w="0" w:type="dxa"/>
        <w:right w:w="0" w:type="dxa"/>
      </w:tblCellMar>
      <w:tblLook w:val="0000" w:firstRow="0" w:lastRow="0" w:firstColumn="0" w:lastColumn="0" w:noHBand="0" w:noVBand="0"/>
    </w:tblPr>
    <w:tblGrid>
      <w:gridCol w:w="993"/>
    </w:tblGrid>
    <w:tr w:rsidR="00AA13CD" w14:paraId="7B72E458" w14:textId="77777777">
      <w:trPr>
        <w:cantSplit/>
        <w:trHeight w:hRule="exact" w:val="5273"/>
      </w:trPr>
      <w:tc>
        <w:tcPr>
          <w:tcW w:w="993" w:type="dxa"/>
          <w:textDirection w:val="btLr"/>
          <w:vAlign w:val="bottom"/>
        </w:tcPr>
        <w:p w14:paraId="1363EC74" w14:textId="2802D6DE" w:rsidR="00AA13CD" w:rsidRPr="00C9479A" w:rsidRDefault="00AA13CD" w:rsidP="00C9479A">
          <w:pPr>
            <w:pStyle w:val="Heading1"/>
            <w:framePr w:w="992" w:h="10943" w:hRule="exact" w:wrap="around" w:x="10199" w:y="5041"/>
            <w:jc w:val="center"/>
            <w:rPr>
              <w:rFonts w:ascii="Arial" w:hAnsi="Arial" w:cs="Arial"/>
              <w:b/>
            </w:rPr>
          </w:pPr>
          <w:r>
            <w:rPr>
              <w:noProof/>
              <w:lang w:eastAsia="en-GB"/>
            </w:rPr>
            <mc:AlternateContent>
              <mc:Choice Requires="wps">
                <w:drawing>
                  <wp:anchor distT="4294967295" distB="4294967295" distL="114300" distR="114300" simplePos="0" relativeHeight="251657216" behindDoc="0" locked="0" layoutInCell="0" allowOverlap="1" wp14:anchorId="41B081EE" wp14:editId="657DD936">
                    <wp:simplePos x="0" y="0"/>
                    <wp:positionH relativeFrom="page">
                      <wp:posOffset>6480810</wp:posOffset>
                    </wp:positionH>
                    <wp:positionV relativeFrom="page">
                      <wp:posOffset>3197859</wp:posOffset>
                    </wp:positionV>
                    <wp:extent cx="539750" cy="0"/>
                    <wp:effectExtent l="0" t="0" r="31750" b="1905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5C9AF" id="Line 2" o:spid="_x0000_s1026" style="position:absolute;z-index:2516572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510.3pt,251.8pt" to="552.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H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RTjBTp&#10;QKInoTiahM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" o:allowincell="f" strokeweight=".5pt">
                    <w10:wrap anchorx="page" anchory="page"/>
                  </v:line>
                </w:pict>
              </mc:Fallback>
            </mc:AlternateContent>
          </w:r>
          <w:r w:rsidRPr="00C9479A">
            <w:rPr>
              <w:rFonts w:ascii="Arial" w:hAnsi="Arial" w:cs="Arial"/>
              <w:b/>
            </w:rPr>
            <w:t>Submission</w:t>
          </w:r>
        </w:p>
      </w:tc>
    </w:tr>
    <w:tr w:rsidR="00AA13CD" w14:paraId="474BDB2F" w14:textId="77777777">
      <w:trPr>
        <w:cantSplit/>
        <w:trHeight w:hRule="exact" w:val="5670"/>
      </w:trPr>
      <w:tc>
        <w:tcPr>
          <w:tcW w:w="993" w:type="dxa"/>
          <w:textDirection w:val="btLr"/>
          <w:vAlign w:val="bottom"/>
        </w:tcPr>
        <w:p w14:paraId="01AF0BBE" w14:textId="3F1C9424" w:rsidR="00AA13CD" w:rsidRPr="00481EF1" w:rsidRDefault="00AA13CD">
          <w:pPr>
            <w:pStyle w:val="Address"/>
            <w:framePr w:w="992" w:h="10943" w:hRule="exact" w:wrap="around" w:vAnchor="page" w:hAnchor="page" w:x="10199" w:y="5041"/>
            <w:rPr>
              <w:rFonts w:ascii="Arial" w:hAnsi="Arial" w:cs="Arial"/>
              <w:sz w:val="16"/>
              <w:szCs w:val="16"/>
            </w:rPr>
          </w:pPr>
          <w:r w:rsidRPr="00481EF1">
            <w:rPr>
              <w:noProof/>
              <w:sz w:val="16"/>
              <w:szCs w:val="16"/>
              <w:lang w:eastAsia="en-GB"/>
            </w:rPr>
            <mc:AlternateContent>
              <mc:Choice Requires="wps">
                <w:drawing>
                  <wp:anchor distT="4294967295" distB="4294967295" distL="114300" distR="114300" simplePos="0" relativeHeight="251658240" behindDoc="0" locked="0" layoutInCell="0" allowOverlap="1" wp14:anchorId="2B756666" wp14:editId="2B60E421">
                    <wp:simplePos x="0" y="0"/>
                    <wp:positionH relativeFrom="page">
                      <wp:posOffset>6480810</wp:posOffset>
                    </wp:positionH>
                    <wp:positionV relativeFrom="page">
                      <wp:posOffset>6553834</wp:posOffset>
                    </wp:positionV>
                    <wp:extent cx="539750" cy="0"/>
                    <wp:effectExtent l="0" t="0" r="3175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6683E" id="Line 3" o:spid="_x0000_s1026" style="position:absolute;z-index:2516582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510.3pt,516.05pt" to="552.8pt,5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g4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QTjBTp&#10;QKInoTiahs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" o:allowincell="f" strokeweight=".5pt">
                    <w10:wrap anchorx="page" anchory="page"/>
                  </v:line>
                </w:pict>
              </mc:Fallback>
            </mc:AlternateContent>
          </w:r>
          <w:r w:rsidRPr="00481EF1">
            <w:rPr>
              <w:rFonts w:ascii="Arial" w:hAnsi="Arial" w:cs="Arial"/>
              <w:sz w:val="16"/>
              <w:szCs w:val="16"/>
            </w:rPr>
            <w:t>Local Government House, Smith Square, London SW1P 3HZ</w:t>
          </w:r>
        </w:p>
        <w:p w14:paraId="33623098" w14:textId="77777777" w:rsidR="00AA13CD" w:rsidRPr="00481EF1" w:rsidRDefault="00AA13CD" w:rsidP="00481EF1">
          <w:pPr>
            <w:framePr w:w="992" w:h="10943" w:hRule="exact" w:wrap="around" w:vAnchor="page" w:hAnchor="page" w:x="10199" w:y="5041"/>
            <w:rPr>
              <w:rFonts w:ascii="Arial" w:hAnsi="Arial" w:cs="Arial"/>
              <w:noProof/>
              <w:sz w:val="16"/>
              <w:szCs w:val="16"/>
              <w:lang w:eastAsia="en-GB"/>
            </w:rPr>
          </w:pPr>
          <w:r w:rsidRPr="00481EF1">
            <w:rPr>
              <w:rFonts w:ascii="Arial" w:hAnsi="Arial" w:cs="Arial"/>
              <w:sz w:val="16"/>
              <w:szCs w:val="16"/>
            </w:rPr>
            <w:t xml:space="preserve">Email: </w:t>
          </w:r>
          <w:hyperlink r:id="rId1" w:history="1">
            <w:r w:rsidRPr="00481EF1">
              <w:rPr>
                <w:rStyle w:val="Hyperlink"/>
                <w:rFonts w:ascii="Arial" w:hAnsi="Arial" w:cs="Arial"/>
                <w:sz w:val="16"/>
                <w:szCs w:val="16"/>
              </w:rPr>
              <w:t>Aeneas.tole@local.go.v.uk</w:t>
            </w:r>
          </w:hyperlink>
          <w:r w:rsidRPr="00481EF1">
            <w:rPr>
              <w:rFonts w:ascii="Arial" w:hAnsi="Arial" w:cs="Arial"/>
              <w:sz w:val="16"/>
              <w:szCs w:val="16"/>
            </w:rPr>
            <w:t xml:space="preserve"> Tel: </w:t>
          </w:r>
          <w:r w:rsidRPr="003828BB">
            <w:rPr>
              <w:rFonts w:ascii="Arial" w:hAnsi="Arial" w:cs="Arial"/>
              <w:noProof/>
              <w:sz w:val="16"/>
              <w:szCs w:val="16"/>
              <w:lang w:eastAsia="en-GB"/>
            </w:rPr>
            <w:t xml:space="preserve"> </w:t>
          </w:r>
          <w:r w:rsidRPr="00481EF1">
            <w:rPr>
              <w:rFonts w:ascii="Arial" w:hAnsi="Arial" w:cs="Arial"/>
              <w:noProof/>
              <w:sz w:val="16"/>
              <w:szCs w:val="16"/>
              <w:lang w:eastAsia="en-GB"/>
            </w:rPr>
            <w:t>020 7664 3236</w:t>
          </w:r>
        </w:p>
        <w:p w14:paraId="58EF1661" w14:textId="77777777" w:rsidR="00AA13CD" w:rsidRPr="00C416F5" w:rsidRDefault="00AA13CD">
          <w:pPr>
            <w:pStyle w:val="Address"/>
            <w:framePr w:w="992" w:h="10943" w:hRule="exact" w:wrap="around" w:vAnchor="page" w:hAnchor="page" w:x="10199" w:y="5041"/>
            <w:rPr>
              <w:rFonts w:ascii="Arial" w:hAnsi="Arial" w:cs="Arial"/>
            </w:rPr>
          </w:pPr>
        </w:p>
        <w:p w14:paraId="673A6BF1" w14:textId="77777777" w:rsidR="00AA13CD" w:rsidRDefault="00AA13CD" w:rsidP="00481EF1">
          <w:pPr>
            <w:pStyle w:val="Address"/>
            <w:framePr w:w="992" w:h="10943" w:hRule="exact" w:wrap="around" w:vAnchor="page" w:hAnchor="page" w:x="10199" w:y="5041"/>
          </w:pPr>
          <w:r w:rsidRPr="00C416F5">
            <w:rPr>
              <w:rFonts w:ascii="Arial" w:hAnsi="Arial" w:cs="Arial"/>
            </w:rPr>
            <w:t>T</w:t>
          </w:r>
        </w:p>
      </w:tc>
    </w:tr>
  </w:tbl>
  <w:p w14:paraId="442483B9" w14:textId="0DD2F698" w:rsidR="00AA13CD" w:rsidRDefault="00AA13CD">
    <w:pPr>
      <w:pStyle w:val="Header"/>
    </w:pPr>
    <w:r>
      <w:rPr>
        <w:noProof/>
        <w:lang w:eastAsia="en-GB"/>
      </w:rPr>
      <mc:AlternateContent>
        <mc:Choice Requires="wps">
          <w:drawing>
            <wp:anchor distT="0" distB="0" distL="114300" distR="114300" simplePos="0" relativeHeight="251656192" behindDoc="0" locked="0" layoutInCell="0" allowOverlap="1" wp14:anchorId="51E60FD9" wp14:editId="391C6630">
              <wp:simplePos x="0" y="0"/>
              <wp:positionH relativeFrom="page">
                <wp:posOffset>6309360</wp:posOffset>
              </wp:positionH>
              <wp:positionV relativeFrom="page">
                <wp:posOffset>502920</wp:posOffset>
              </wp:positionV>
              <wp:extent cx="889000" cy="2357120"/>
              <wp:effectExtent l="0" t="0" r="6350" b="508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AEBE6" w14:textId="79AFB7B3" w:rsidR="00AA13CD" w:rsidRDefault="00AA13CD" w:rsidP="00B54126">
                          <w:pPr>
                            <w:pStyle w:val="Logo"/>
                            <w:jc w:val="center"/>
                          </w:pPr>
                          <w:r w:rsidRPr="005232EE">
                            <w:rPr>
                              <w:lang w:eastAsia="en-GB"/>
                            </w:rPr>
                            <w:drawing>
                              <wp:inline distT="0" distB="0" distL="0" distR="0" wp14:anchorId="36FB71EE" wp14:editId="1529A51B">
                                <wp:extent cx="687705" cy="115125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705" cy="1151255"/>
                                        </a:xfrm>
                                        <a:prstGeom prst="rect">
                                          <a:avLst/>
                                        </a:prstGeom>
                                        <a:noFill/>
                                        <a:ln>
                                          <a:noFill/>
                                        </a:ln>
                                      </pic:spPr>
                                    </pic:pic>
                                  </a:graphicData>
                                </a:graphic>
                              </wp:inline>
                            </w:drawing>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E60FD9" id="_x0000_t202" coordsize="21600,21600" o:spt="202" path="m,l,21600r21600,l21600,xe">
              <v:stroke joinstyle="miter"/>
              <v:path gradientshapeok="t" o:connecttype="rect"/>
            </v:shapetype>
            <v:shape id="Text Box 1" o:spid="_x0000_s1026" type="#_x0000_t202" style="position:absolute;margin-left:496.8pt;margin-top:39.6pt;width:70pt;height:185.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" o:allowincell="f" filled="f" stroked="f">
              <v:textbox style="layout-flow:vertical;mso-layout-flow-alt:bottom-to-top;mso-fit-shape-to-text:t" inset="0,0,0,0">
                <w:txbxContent>
                  <w:p w14:paraId="01FAEBE6" w14:textId="79AFB7B3" w:rsidR="00AA13CD" w:rsidRDefault="00AA13CD" w:rsidP="00B54126">
                    <w:pPr>
                      <w:pStyle w:val="Logo"/>
                      <w:jc w:val="center"/>
                    </w:pPr>
                    <w:r w:rsidRPr="005232EE">
                      <w:rPr>
                        <w:lang w:eastAsia="en-GB"/>
                      </w:rPr>
                      <w:drawing>
                        <wp:inline distT="0" distB="0" distL="0" distR="0" wp14:anchorId="36FB71EE" wp14:editId="1529A51B">
                          <wp:extent cx="687705" cy="115125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705" cy="1151255"/>
                                  </a:xfrm>
                                  <a:prstGeom prst="rect">
                                    <a:avLst/>
                                  </a:prstGeom>
                                  <a:noFill/>
                                  <a:ln>
                                    <a:noFill/>
                                  </a:ln>
                                </pic:spPr>
                              </pic:pic>
                            </a:graphicData>
                          </a:graphic>
                        </wp:inline>
                      </w:drawing>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2CF2A" w14:textId="77777777" w:rsidR="00AA13CD" w:rsidRDefault="00AA13C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0816663"/>
      <w:docPartObj>
        <w:docPartGallery w:val="Watermarks"/>
        <w:docPartUnique/>
      </w:docPartObj>
    </w:sdtPr>
    <w:sdtEndPr/>
    <w:sdtContent>
      <w:p w14:paraId="179041E6" w14:textId="4FE5481B" w:rsidR="00AA13CD" w:rsidRDefault="00A63FF2">
        <w:pPr>
          <w:pStyle w:val="Header"/>
        </w:pPr>
        <w:r>
          <w:rPr>
            <w:noProof/>
            <w:lang w:val="en-US"/>
          </w:rPr>
          <w:pict w14:anchorId="1222FE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2290"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B563F9"/>
    <w:multiLevelType w:val="hybridMultilevel"/>
    <w:tmpl w:val="60CCD44A"/>
    <w:lvl w:ilvl="0" w:tplc="1C2E6DA8">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123820DB"/>
    <w:multiLevelType w:val="hybridMultilevel"/>
    <w:tmpl w:val="31CE06E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 w15:restartNumberingAfterBreak="0">
    <w:nsid w:val="15116FD0"/>
    <w:multiLevelType w:val="hybridMultilevel"/>
    <w:tmpl w:val="7DF838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72407F"/>
    <w:multiLevelType w:val="multilevel"/>
    <w:tmpl w:val="206889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C030B5"/>
    <w:multiLevelType w:val="multilevel"/>
    <w:tmpl w:val="A316F43C"/>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 w15:restartNumberingAfterBreak="0">
    <w:nsid w:val="22BA72CE"/>
    <w:multiLevelType w:val="hybridMultilevel"/>
    <w:tmpl w:val="1B1A18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46B5984"/>
    <w:multiLevelType w:val="multilevel"/>
    <w:tmpl w:val="E93C3088"/>
    <w:lvl w:ilvl="0">
      <w:start w:val="1"/>
      <w:numFmt w:val="decimal"/>
      <w:lvlText w:val="%1."/>
      <w:lvlJc w:val="left"/>
      <w:pPr>
        <w:ind w:left="360" w:hanging="360"/>
      </w:pPr>
    </w:lvl>
    <w:lvl w:ilvl="1">
      <w:start w:val="1"/>
      <w:numFmt w:val="decimal"/>
      <w:pStyle w:val="BodyText1"/>
      <w:lvlText w:val="%1.%2."/>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auto"/>
        <w:spacing w:val="0"/>
        <w:w w:val="0"/>
        <w:kern w:val="0"/>
        <w:position w:val="0"/>
        <w:szCs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EFB024F"/>
    <w:multiLevelType w:val="hybridMultilevel"/>
    <w:tmpl w:val="AD66CBF0"/>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2AD61A3"/>
    <w:multiLevelType w:val="hybridMultilevel"/>
    <w:tmpl w:val="0A5E38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027E50"/>
    <w:multiLevelType w:val="multilevel"/>
    <w:tmpl w:val="8ECCAB6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rPr>
    </w:lvl>
    <w:lvl w:ilvl="2">
      <w:start w:val="1"/>
      <w:numFmt w:val="bullet"/>
      <w:lvlText w:val=""/>
      <w:lvlJc w:val="left"/>
      <w:pPr>
        <w:ind w:left="720" w:hanging="720"/>
      </w:pPr>
      <w:rPr>
        <w:rFonts w:ascii="Symbol" w:hAnsi="Symbol"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349A2F57"/>
    <w:multiLevelType w:val="multilevel"/>
    <w:tmpl w:val="ABAEC30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80135CC"/>
    <w:multiLevelType w:val="hybridMultilevel"/>
    <w:tmpl w:val="3F006A7E"/>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2" w15:restartNumberingAfterBreak="0">
    <w:nsid w:val="3E697D6A"/>
    <w:multiLevelType w:val="multilevel"/>
    <w:tmpl w:val="293A24E2"/>
    <w:lvl w:ilvl="0">
      <w:start w:val="3"/>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496157BC"/>
    <w:multiLevelType w:val="hybridMultilevel"/>
    <w:tmpl w:val="D4AEC2FC"/>
    <w:lvl w:ilvl="0" w:tplc="DBDE54B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BF95061"/>
    <w:multiLevelType w:val="hybridMultilevel"/>
    <w:tmpl w:val="9B42BC30"/>
    <w:lvl w:ilvl="0" w:tplc="0809000F">
      <w:start w:val="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16" w15:restartNumberingAfterBreak="0">
    <w:nsid w:val="51742095"/>
    <w:multiLevelType w:val="multilevel"/>
    <w:tmpl w:val="C0A407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bullet"/>
      <w:lvlText w:val=""/>
      <w:lvlJc w:val="left"/>
      <w:pPr>
        <w:ind w:left="2206" w:hanging="504"/>
      </w:pPr>
      <w:rPr>
        <w:rFonts w:ascii="Symbol" w:hAnsi="Symbol"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41749B9"/>
    <w:multiLevelType w:val="hybridMultilevel"/>
    <w:tmpl w:val="0AD28FD2"/>
    <w:lvl w:ilvl="0" w:tplc="08090001">
      <w:start w:val="1"/>
      <w:numFmt w:val="bullet"/>
      <w:lvlText w:val=""/>
      <w:lvlJc w:val="left"/>
      <w:pPr>
        <w:ind w:left="44" w:hanging="360"/>
      </w:pPr>
      <w:rPr>
        <w:rFonts w:ascii="Symbol" w:hAnsi="Symbol" w:hint="default"/>
      </w:rPr>
    </w:lvl>
    <w:lvl w:ilvl="1" w:tplc="08090003" w:tentative="1">
      <w:start w:val="1"/>
      <w:numFmt w:val="bullet"/>
      <w:lvlText w:val="o"/>
      <w:lvlJc w:val="left"/>
      <w:pPr>
        <w:ind w:left="764" w:hanging="360"/>
      </w:pPr>
      <w:rPr>
        <w:rFonts w:ascii="Courier New" w:hAnsi="Courier New" w:cs="Courier New" w:hint="default"/>
      </w:rPr>
    </w:lvl>
    <w:lvl w:ilvl="2" w:tplc="08090005" w:tentative="1">
      <w:start w:val="1"/>
      <w:numFmt w:val="bullet"/>
      <w:lvlText w:val=""/>
      <w:lvlJc w:val="left"/>
      <w:pPr>
        <w:ind w:left="1484" w:hanging="360"/>
      </w:pPr>
      <w:rPr>
        <w:rFonts w:ascii="Wingdings" w:hAnsi="Wingdings" w:hint="default"/>
      </w:rPr>
    </w:lvl>
    <w:lvl w:ilvl="3" w:tplc="08090001" w:tentative="1">
      <w:start w:val="1"/>
      <w:numFmt w:val="bullet"/>
      <w:lvlText w:val=""/>
      <w:lvlJc w:val="left"/>
      <w:pPr>
        <w:ind w:left="2204" w:hanging="360"/>
      </w:pPr>
      <w:rPr>
        <w:rFonts w:ascii="Symbol" w:hAnsi="Symbol" w:hint="default"/>
      </w:rPr>
    </w:lvl>
    <w:lvl w:ilvl="4" w:tplc="08090003" w:tentative="1">
      <w:start w:val="1"/>
      <w:numFmt w:val="bullet"/>
      <w:lvlText w:val="o"/>
      <w:lvlJc w:val="left"/>
      <w:pPr>
        <w:ind w:left="2924" w:hanging="360"/>
      </w:pPr>
      <w:rPr>
        <w:rFonts w:ascii="Courier New" w:hAnsi="Courier New" w:cs="Courier New" w:hint="default"/>
      </w:rPr>
    </w:lvl>
    <w:lvl w:ilvl="5" w:tplc="08090005" w:tentative="1">
      <w:start w:val="1"/>
      <w:numFmt w:val="bullet"/>
      <w:lvlText w:val=""/>
      <w:lvlJc w:val="left"/>
      <w:pPr>
        <w:ind w:left="3644" w:hanging="360"/>
      </w:pPr>
      <w:rPr>
        <w:rFonts w:ascii="Wingdings" w:hAnsi="Wingdings" w:hint="default"/>
      </w:rPr>
    </w:lvl>
    <w:lvl w:ilvl="6" w:tplc="08090001" w:tentative="1">
      <w:start w:val="1"/>
      <w:numFmt w:val="bullet"/>
      <w:lvlText w:val=""/>
      <w:lvlJc w:val="left"/>
      <w:pPr>
        <w:ind w:left="4364" w:hanging="360"/>
      </w:pPr>
      <w:rPr>
        <w:rFonts w:ascii="Symbol" w:hAnsi="Symbol" w:hint="default"/>
      </w:rPr>
    </w:lvl>
    <w:lvl w:ilvl="7" w:tplc="08090003" w:tentative="1">
      <w:start w:val="1"/>
      <w:numFmt w:val="bullet"/>
      <w:lvlText w:val="o"/>
      <w:lvlJc w:val="left"/>
      <w:pPr>
        <w:ind w:left="5084" w:hanging="360"/>
      </w:pPr>
      <w:rPr>
        <w:rFonts w:ascii="Courier New" w:hAnsi="Courier New" w:cs="Courier New" w:hint="default"/>
      </w:rPr>
    </w:lvl>
    <w:lvl w:ilvl="8" w:tplc="08090005" w:tentative="1">
      <w:start w:val="1"/>
      <w:numFmt w:val="bullet"/>
      <w:lvlText w:val=""/>
      <w:lvlJc w:val="left"/>
      <w:pPr>
        <w:ind w:left="5804" w:hanging="360"/>
      </w:pPr>
      <w:rPr>
        <w:rFonts w:ascii="Wingdings" w:hAnsi="Wingdings" w:hint="default"/>
      </w:rPr>
    </w:lvl>
  </w:abstractNum>
  <w:abstractNum w:abstractNumId="18" w15:restartNumberingAfterBreak="0">
    <w:nsid w:val="566E7932"/>
    <w:multiLevelType w:val="multilevel"/>
    <w:tmpl w:val="118ED0DE"/>
    <w:lvl w:ilvl="0">
      <w:start w:val="5"/>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56E5501D"/>
    <w:multiLevelType w:val="multilevel"/>
    <w:tmpl w:val="39AE2A9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8627309"/>
    <w:multiLevelType w:val="multilevel"/>
    <w:tmpl w:val="C0A407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bullet"/>
      <w:lvlText w:val=""/>
      <w:lvlJc w:val="left"/>
      <w:pPr>
        <w:ind w:left="1224" w:hanging="504"/>
      </w:pPr>
      <w:rPr>
        <w:rFonts w:ascii="Symbol" w:hAnsi="Symbol"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17A43C6"/>
    <w:multiLevelType w:val="multilevel"/>
    <w:tmpl w:val="A910678E"/>
    <w:lvl w:ilvl="0">
      <w:start w:val="5"/>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22" w15:restartNumberingAfterBreak="0">
    <w:nsid w:val="61E00D8A"/>
    <w:multiLevelType w:val="hybridMultilevel"/>
    <w:tmpl w:val="57B2CB12"/>
    <w:lvl w:ilvl="0" w:tplc="9166804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2CC6804"/>
    <w:multiLevelType w:val="hybridMultilevel"/>
    <w:tmpl w:val="892AB674"/>
    <w:lvl w:ilvl="0" w:tplc="48462F8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6563ADA"/>
    <w:multiLevelType w:val="multilevel"/>
    <w:tmpl w:val="12107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AC1196"/>
    <w:multiLevelType w:val="multilevel"/>
    <w:tmpl w:val="AB6CBA82"/>
    <w:lvl w:ilvl="0">
      <w:start w:val="1"/>
      <w:numFmt w:val="bullet"/>
      <w:lvlText w:val=""/>
      <w:lvlJc w:val="left"/>
      <w:pPr>
        <w:ind w:left="360" w:hanging="360"/>
      </w:pPr>
      <w:rPr>
        <w:rFonts w:ascii="Symbol" w:hAnsi="Symbol" w:hint="default"/>
      </w:rPr>
    </w:lvl>
    <w:lvl w:ilvl="1">
      <w:start w:val="1"/>
      <w:numFmt w:val="decimal"/>
      <w:lvlText w:val="%1.%2."/>
      <w:lvlJc w:val="left"/>
      <w:pPr>
        <w:ind w:left="1283" w:hanging="432"/>
      </w:pPr>
      <w:rPr>
        <w:rFonts w:hint="default"/>
        <w:b w:val="0"/>
      </w:rPr>
    </w:lvl>
    <w:lvl w:ilvl="2">
      <w:start w:val="1"/>
      <w:numFmt w:val="bullet"/>
      <w:lvlText w:val=""/>
      <w:lvlJc w:val="left"/>
      <w:pPr>
        <w:ind w:left="1224" w:hanging="504"/>
      </w:pPr>
      <w:rPr>
        <w:rFonts w:ascii="Symbol" w:hAnsi="Symbol"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8913D28"/>
    <w:multiLevelType w:val="hybridMultilevel"/>
    <w:tmpl w:val="B32879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912377C"/>
    <w:multiLevelType w:val="multilevel"/>
    <w:tmpl w:val="9FAC25A8"/>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b w:val="0"/>
      </w:rPr>
    </w:lvl>
    <w:lvl w:ilvl="2">
      <w:start w:val="1"/>
      <w:numFmt w:val="bullet"/>
      <w:lvlText w:val=""/>
      <w:lvlJc w:val="left"/>
      <w:pPr>
        <w:ind w:left="720" w:hanging="720"/>
      </w:pPr>
      <w:rPr>
        <w:rFonts w:ascii="Symbol" w:hAnsi="Symbol"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6A371DE1"/>
    <w:multiLevelType w:val="multilevel"/>
    <w:tmpl w:val="2774F7F0"/>
    <w:lvl w:ilvl="0">
      <w:start w:val="8"/>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FCD4DAA"/>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83" w:hanging="432"/>
      </w:pPr>
      <w:rPr>
        <w:rFonts w:hint="default"/>
        <w:b w:val="0"/>
      </w:rPr>
    </w:lvl>
    <w:lvl w:ilvl="2">
      <w:start w:val="1"/>
      <w:numFmt w:val="decimal"/>
      <w:lvlText w:val="%1.%2.%3."/>
      <w:lvlJc w:val="left"/>
      <w:pPr>
        <w:ind w:left="515" w:hanging="504"/>
      </w:pPr>
      <w:rPr>
        <w:rFonts w:hint="default"/>
        <w:b w:val="0"/>
      </w:rPr>
    </w:lvl>
    <w:lvl w:ilvl="3">
      <w:start w:val="1"/>
      <w:numFmt w:val="decimal"/>
      <w:lvlText w:val="%1.%2.%3.%4."/>
      <w:lvlJc w:val="left"/>
      <w:pPr>
        <w:ind w:left="1019" w:hanging="648"/>
      </w:pPr>
      <w:rPr>
        <w:rFonts w:hint="default"/>
      </w:rPr>
    </w:lvl>
    <w:lvl w:ilvl="4">
      <w:start w:val="1"/>
      <w:numFmt w:val="decimal"/>
      <w:lvlText w:val="%1.%2.%3.%4.%5."/>
      <w:lvlJc w:val="left"/>
      <w:pPr>
        <w:ind w:left="1523" w:hanging="792"/>
      </w:pPr>
      <w:rPr>
        <w:rFonts w:hint="default"/>
      </w:rPr>
    </w:lvl>
    <w:lvl w:ilvl="5">
      <w:start w:val="1"/>
      <w:numFmt w:val="decimal"/>
      <w:lvlText w:val="%1.%2.%3.%4.%5.%6."/>
      <w:lvlJc w:val="left"/>
      <w:pPr>
        <w:ind w:left="2027" w:hanging="936"/>
      </w:pPr>
      <w:rPr>
        <w:rFonts w:hint="default"/>
      </w:rPr>
    </w:lvl>
    <w:lvl w:ilvl="6">
      <w:start w:val="1"/>
      <w:numFmt w:val="decimal"/>
      <w:lvlText w:val="%1.%2.%3.%4.%5.%6.%7."/>
      <w:lvlJc w:val="left"/>
      <w:pPr>
        <w:ind w:left="2531" w:hanging="1080"/>
      </w:pPr>
      <w:rPr>
        <w:rFonts w:hint="default"/>
      </w:rPr>
    </w:lvl>
    <w:lvl w:ilvl="7">
      <w:start w:val="1"/>
      <w:numFmt w:val="decimal"/>
      <w:lvlText w:val="%1.%2.%3.%4.%5.%6.%7.%8."/>
      <w:lvlJc w:val="left"/>
      <w:pPr>
        <w:ind w:left="3035" w:hanging="1224"/>
      </w:pPr>
      <w:rPr>
        <w:rFonts w:hint="default"/>
      </w:rPr>
    </w:lvl>
    <w:lvl w:ilvl="8">
      <w:start w:val="1"/>
      <w:numFmt w:val="decimal"/>
      <w:lvlText w:val="%1.%2.%3.%4.%5.%6.%7.%8.%9."/>
      <w:lvlJc w:val="left"/>
      <w:pPr>
        <w:ind w:left="3611" w:hanging="1440"/>
      </w:pPr>
      <w:rPr>
        <w:rFonts w:hint="default"/>
      </w:rPr>
    </w:lvl>
  </w:abstractNum>
  <w:abstractNum w:abstractNumId="30" w15:restartNumberingAfterBreak="0">
    <w:nsid w:val="745C4C3A"/>
    <w:multiLevelType w:val="multilevel"/>
    <w:tmpl w:val="05C4A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9359FF"/>
    <w:multiLevelType w:val="multilevel"/>
    <w:tmpl w:val="1BD64A12"/>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BEC6E84"/>
    <w:multiLevelType w:val="hybridMultilevel"/>
    <w:tmpl w:val="FA62056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C966566"/>
    <w:multiLevelType w:val="multilevel"/>
    <w:tmpl w:val="482056E0"/>
    <w:lvl w:ilvl="0">
      <w:start w:val="5"/>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6"/>
      <w:numFmt w:val="decimal"/>
      <w:lvlText w:val="%1.%2.%3"/>
      <w:lvlJc w:val="left"/>
      <w:pPr>
        <w:ind w:left="143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15"/>
  </w:num>
  <w:num w:numId="2">
    <w:abstractNumId w:val="29"/>
  </w:num>
  <w:num w:numId="3">
    <w:abstractNumId w:val="6"/>
  </w:num>
  <w:num w:numId="4">
    <w:abstractNumId w:val="9"/>
  </w:num>
  <w:num w:numId="5">
    <w:abstractNumId w:val="27"/>
  </w:num>
  <w:num w:numId="6">
    <w:abstractNumId w:val="20"/>
  </w:num>
  <w:num w:numId="7">
    <w:abstractNumId w:val="16"/>
  </w:num>
  <w:num w:numId="8">
    <w:abstractNumId w:val="2"/>
  </w:num>
  <w:num w:numId="9">
    <w:abstractNumId w:val="25"/>
  </w:num>
  <w:num w:numId="10">
    <w:abstractNumId w:val="19"/>
  </w:num>
  <w:num w:numId="11">
    <w:abstractNumId w:val="4"/>
  </w:num>
  <w:num w:numId="12">
    <w:abstractNumId w:val="5"/>
  </w:num>
  <w:num w:numId="13">
    <w:abstractNumId w:val="12"/>
  </w:num>
  <w:num w:numId="14">
    <w:abstractNumId w:val="14"/>
  </w:num>
  <w:num w:numId="15">
    <w:abstractNumId w:val="10"/>
  </w:num>
  <w:num w:numId="16">
    <w:abstractNumId w:val="21"/>
  </w:num>
  <w:num w:numId="17">
    <w:abstractNumId w:val="18"/>
  </w:num>
  <w:num w:numId="18">
    <w:abstractNumId w:val="33"/>
  </w:num>
  <w:num w:numId="19">
    <w:abstractNumId w:val="31"/>
  </w:num>
  <w:num w:numId="20">
    <w:abstractNumId w:val="1"/>
  </w:num>
  <w:num w:numId="21">
    <w:abstractNumId w:val="28"/>
  </w:num>
  <w:num w:numId="22">
    <w:abstractNumId w:val="11"/>
  </w:num>
  <w:num w:numId="23">
    <w:abstractNumId w:val="30"/>
  </w:num>
  <w:num w:numId="24">
    <w:abstractNumId w:val="3"/>
  </w:num>
  <w:num w:numId="25">
    <w:abstractNumId w:val="24"/>
  </w:num>
  <w:num w:numId="26">
    <w:abstractNumId w:val="32"/>
  </w:num>
  <w:num w:numId="27">
    <w:abstractNumId w:val="17"/>
  </w:num>
  <w:num w:numId="28">
    <w:abstractNumId w:val="7"/>
  </w:num>
  <w:num w:numId="29">
    <w:abstractNumId w:val="26"/>
  </w:num>
  <w:num w:numId="30">
    <w:abstractNumId w:val="22"/>
  </w:num>
  <w:num w:numId="31">
    <w:abstractNumId w:val="0"/>
  </w:num>
  <w:num w:numId="32">
    <w:abstractNumId w:val="23"/>
  </w:num>
  <w:num w:numId="33">
    <w:abstractNumId w:val="13"/>
  </w:num>
  <w:num w:numId="34">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12291"/>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477"/>
    <w:rsid w:val="00000550"/>
    <w:rsid w:val="000005E2"/>
    <w:rsid w:val="00004BC3"/>
    <w:rsid w:val="00006192"/>
    <w:rsid w:val="00015F34"/>
    <w:rsid w:val="00022C97"/>
    <w:rsid w:val="00024DEF"/>
    <w:rsid w:val="00031AD9"/>
    <w:rsid w:val="000348F9"/>
    <w:rsid w:val="00045244"/>
    <w:rsid w:val="000463EF"/>
    <w:rsid w:val="00047CDE"/>
    <w:rsid w:val="0005361A"/>
    <w:rsid w:val="000574FF"/>
    <w:rsid w:val="000627D3"/>
    <w:rsid w:val="00071EFD"/>
    <w:rsid w:val="000723F3"/>
    <w:rsid w:val="00072556"/>
    <w:rsid w:val="00073AE5"/>
    <w:rsid w:val="00075E30"/>
    <w:rsid w:val="00080FB8"/>
    <w:rsid w:val="000827FA"/>
    <w:rsid w:val="000830D0"/>
    <w:rsid w:val="00086935"/>
    <w:rsid w:val="00093F19"/>
    <w:rsid w:val="00094251"/>
    <w:rsid w:val="000A0628"/>
    <w:rsid w:val="000A39A4"/>
    <w:rsid w:val="000A4134"/>
    <w:rsid w:val="000A75BD"/>
    <w:rsid w:val="000A7DE5"/>
    <w:rsid w:val="000B4C8B"/>
    <w:rsid w:val="000C4E67"/>
    <w:rsid w:val="000C5404"/>
    <w:rsid w:val="000D069A"/>
    <w:rsid w:val="000D10BC"/>
    <w:rsid w:val="000D5FEC"/>
    <w:rsid w:val="000D7D61"/>
    <w:rsid w:val="000E32E2"/>
    <w:rsid w:val="000F039F"/>
    <w:rsid w:val="000F1520"/>
    <w:rsid w:val="00101DAF"/>
    <w:rsid w:val="00104307"/>
    <w:rsid w:val="00112D91"/>
    <w:rsid w:val="00113B1A"/>
    <w:rsid w:val="0011414B"/>
    <w:rsid w:val="001229C4"/>
    <w:rsid w:val="00130A9F"/>
    <w:rsid w:val="00132FB4"/>
    <w:rsid w:val="00136BA9"/>
    <w:rsid w:val="00145003"/>
    <w:rsid w:val="00145479"/>
    <w:rsid w:val="0014613D"/>
    <w:rsid w:val="0014785D"/>
    <w:rsid w:val="001503F2"/>
    <w:rsid w:val="0015215F"/>
    <w:rsid w:val="001524E0"/>
    <w:rsid w:val="00160114"/>
    <w:rsid w:val="00162699"/>
    <w:rsid w:val="00164640"/>
    <w:rsid w:val="001659D7"/>
    <w:rsid w:val="00167DB7"/>
    <w:rsid w:val="00173F5F"/>
    <w:rsid w:val="00174F91"/>
    <w:rsid w:val="00175C53"/>
    <w:rsid w:val="00191222"/>
    <w:rsid w:val="00191D1C"/>
    <w:rsid w:val="001A3138"/>
    <w:rsid w:val="001B3732"/>
    <w:rsid w:val="001B520A"/>
    <w:rsid w:val="001D6073"/>
    <w:rsid w:val="001D6E37"/>
    <w:rsid w:val="001E2379"/>
    <w:rsid w:val="001E43F7"/>
    <w:rsid w:val="001E5A46"/>
    <w:rsid w:val="001F18B0"/>
    <w:rsid w:val="001F1CF8"/>
    <w:rsid w:val="00211A01"/>
    <w:rsid w:val="00223E63"/>
    <w:rsid w:val="00225477"/>
    <w:rsid w:val="002328BB"/>
    <w:rsid w:val="00234826"/>
    <w:rsid w:val="00236008"/>
    <w:rsid w:val="00240BE4"/>
    <w:rsid w:val="002518AC"/>
    <w:rsid w:val="00266126"/>
    <w:rsid w:val="00275A3A"/>
    <w:rsid w:val="00276DF0"/>
    <w:rsid w:val="00281330"/>
    <w:rsid w:val="0028298C"/>
    <w:rsid w:val="00282F8B"/>
    <w:rsid w:val="00286C04"/>
    <w:rsid w:val="002918C2"/>
    <w:rsid w:val="002A22EC"/>
    <w:rsid w:val="002A59A7"/>
    <w:rsid w:val="002C5942"/>
    <w:rsid w:val="002D2D16"/>
    <w:rsid w:val="002D44D9"/>
    <w:rsid w:val="002E0171"/>
    <w:rsid w:val="002F218D"/>
    <w:rsid w:val="002F54A9"/>
    <w:rsid w:val="0030106E"/>
    <w:rsid w:val="003027A6"/>
    <w:rsid w:val="00304451"/>
    <w:rsid w:val="00304C2D"/>
    <w:rsid w:val="0030631B"/>
    <w:rsid w:val="00306D21"/>
    <w:rsid w:val="003132E1"/>
    <w:rsid w:val="00316795"/>
    <w:rsid w:val="00320CFD"/>
    <w:rsid w:val="00322B6C"/>
    <w:rsid w:val="0032503F"/>
    <w:rsid w:val="00335DEF"/>
    <w:rsid w:val="00341138"/>
    <w:rsid w:val="0034219B"/>
    <w:rsid w:val="00342725"/>
    <w:rsid w:val="00347C99"/>
    <w:rsid w:val="00347FE8"/>
    <w:rsid w:val="00357E29"/>
    <w:rsid w:val="003625A7"/>
    <w:rsid w:val="0036263C"/>
    <w:rsid w:val="00370B34"/>
    <w:rsid w:val="00373FD7"/>
    <w:rsid w:val="00375C43"/>
    <w:rsid w:val="003769BF"/>
    <w:rsid w:val="00377203"/>
    <w:rsid w:val="003812A4"/>
    <w:rsid w:val="003828BB"/>
    <w:rsid w:val="0038407C"/>
    <w:rsid w:val="00396A9A"/>
    <w:rsid w:val="003972F8"/>
    <w:rsid w:val="003C1012"/>
    <w:rsid w:val="003D0245"/>
    <w:rsid w:val="003D0BBB"/>
    <w:rsid w:val="003D31EC"/>
    <w:rsid w:val="003D3422"/>
    <w:rsid w:val="003D4EE8"/>
    <w:rsid w:val="003D7220"/>
    <w:rsid w:val="003E1505"/>
    <w:rsid w:val="003F1AED"/>
    <w:rsid w:val="00400473"/>
    <w:rsid w:val="004062FB"/>
    <w:rsid w:val="004323F6"/>
    <w:rsid w:val="00441DB5"/>
    <w:rsid w:val="0044553F"/>
    <w:rsid w:val="004507B4"/>
    <w:rsid w:val="004532AF"/>
    <w:rsid w:val="00460421"/>
    <w:rsid w:val="00466FC0"/>
    <w:rsid w:val="00471C2E"/>
    <w:rsid w:val="00472885"/>
    <w:rsid w:val="00476917"/>
    <w:rsid w:val="0047732E"/>
    <w:rsid w:val="004802E0"/>
    <w:rsid w:val="00481EF1"/>
    <w:rsid w:val="00483038"/>
    <w:rsid w:val="004846D7"/>
    <w:rsid w:val="0048608D"/>
    <w:rsid w:val="0048619E"/>
    <w:rsid w:val="004C190A"/>
    <w:rsid w:val="004C32FB"/>
    <w:rsid w:val="004D36CF"/>
    <w:rsid w:val="004D565A"/>
    <w:rsid w:val="004D587C"/>
    <w:rsid w:val="004E5BD7"/>
    <w:rsid w:val="004F30A8"/>
    <w:rsid w:val="004F3C9B"/>
    <w:rsid w:val="00502886"/>
    <w:rsid w:val="00503FF3"/>
    <w:rsid w:val="005058D6"/>
    <w:rsid w:val="005065EA"/>
    <w:rsid w:val="005144B3"/>
    <w:rsid w:val="00515DF3"/>
    <w:rsid w:val="005354D0"/>
    <w:rsid w:val="0054039A"/>
    <w:rsid w:val="00546D2F"/>
    <w:rsid w:val="00551E3E"/>
    <w:rsid w:val="0055318E"/>
    <w:rsid w:val="00567CC5"/>
    <w:rsid w:val="00567DDF"/>
    <w:rsid w:val="00580A7D"/>
    <w:rsid w:val="00587BC5"/>
    <w:rsid w:val="00593DF3"/>
    <w:rsid w:val="00594DC8"/>
    <w:rsid w:val="0059622B"/>
    <w:rsid w:val="005A6823"/>
    <w:rsid w:val="005B0C51"/>
    <w:rsid w:val="005B7F88"/>
    <w:rsid w:val="005C0BB0"/>
    <w:rsid w:val="005C2864"/>
    <w:rsid w:val="005E5B98"/>
    <w:rsid w:val="005E794F"/>
    <w:rsid w:val="005F4718"/>
    <w:rsid w:val="005F5508"/>
    <w:rsid w:val="005F650E"/>
    <w:rsid w:val="00601346"/>
    <w:rsid w:val="006019C5"/>
    <w:rsid w:val="00602F26"/>
    <w:rsid w:val="006030F0"/>
    <w:rsid w:val="0060690A"/>
    <w:rsid w:val="00614E39"/>
    <w:rsid w:val="006155B6"/>
    <w:rsid w:val="00617C25"/>
    <w:rsid w:val="00620AA4"/>
    <w:rsid w:val="00621758"/>
    <w:rsid w:val="0062188D"/>
    <w:rsid w:val="00624545"/>
    <w:rsid w:val="00631498"/>
    <w:rsid w:val="0063388F"/>
    <w:rsid w:val="006352BB"/>
    <w:rsid w:val="00640866"/>
    <w:rsid w:val="00644277"/>
    <w:rsid w:val="006454ED"/>
    <w:rsid w:val="00645776"/>
    <w:rsid w:val="00652044"/>
    <w:rsid w:val="00665538"/>
    <w:rsid w:val="00665EA2"/>
    <w:rsid w:val="00681DC6"/>
    <w:rsid w:val="00690D4C"/>
    <w:rsid w:val="0069384E"/>
    <w:rsid w:val="00696342"/>
    <w:rsid w:val="00697BB2"/>
    <w:rsid w:val="006A57B7"/>
    <w:rsid w:val="006A6031"/>
    <w:rsid w:val="006B3072"/>
    <w:rsid w:val="006B3DB0"/>
    <w:rsid w:val="006B66EA"/>
    <w:rsid w:val="006D538B"/>
    <w:rsid w:val="006D62AE"/>
    <w:rsid w:val="006E2886"/>
    <w:rsid w:val="006E4179"/>
    <w:rsid w:val="006E4E7E"/>
    <w:rsid w:val="006F33FA"/>
    <w:rsid w:val="00700812"/>
    <w:rsid w:val="00704FD4"/>
    <w:rsid w:val="00707938"/>
    <w:rsid w:val="00710CF6"/>
    <w:rsid w:val="00712E64"/>
    <w:rsid w:val="00716861"/>
    <w:rsid w:val="00723E04"/>
    <w:rsid w:val="0073305B"/>
    <w:rsid w:val="00734613"/>
    <w:rsid w:val="00736ED8"/>
    <w:rsid w:val="0074410A"/>
    <w:rsid w:val="007451C0"/>
    <w:rsid w:val="007453A0"/>
    <w:rsid w:val="00747474"/>
    <w:rsid w:val="00751CEE"/>
    <w:rsid w:val="007529D5"/>
    <w:rsid w:val="00754413"/>
    <w:rsid w:val="00757175"/>
    <w:rsid w:val="00760716"/>
    <w:rsid w:val="007626E3"/>
    <w:rsid w:val="00764766"/>
    <w:rsid w:val="0076680F"/>
    <w:rsid w:val="00776435"/>
    <w:rsid w:val="0078581F"/>
    <w:rsid w:val="00785A93"/>
    <w:rsid w:val="007908F0"/>
    <w:rsid w:val="0079193E"/>
    <w:rsid w:val="00793ADA"/>
    <w:rsid w:val="007967CF"/>
    <w:rsid w:val="007A424C"/>
    <w:rsid w:val="007A4A46"/>
    <w:rsid w:val="007A4DBB"/>
    <w:rsid w:val="007A6FA0"/>
    <w:rsid w:val="007B1360"/>
    <w:rsid w:val="007B593D"/>
    <w:rsid w:val="007D5C09"/>
    <w:rsid w:val="007E0648"/>
    <w:rsid w:val="007F213A"/>
    <w:rsid w:val="007F75CC"/>
    <w:rsid w:val="00802AFD"/>
    <w:rsid w:val="00811ECD"/>
    <w:rsid w:val="00813357"/>
    <w:rsid w:val="00814692"/>
    <w:rsid w:val="0082104C"/>
    <w:rsid w:val="00831447"/>
    <w:rsid w:val="00833BD8"/>
    <w:rsid w:val="00834ADF"/>
    <w:rsid w:val="0084186F"/>
    <w:rsid w:val="0084392C"/>
    <w:rsid w:val="00846B8D"/>
    <w:rsid w:val="00850658"/>
    <w:rsid w:val="0085256C"/>
    <w:rsid w:val="00852DDA"/>
    <w:rsid w:val="00853E99"/>
    <w:rsid w:val="008608E8"/>
    <w:rsid w:val="00863E47"/>
    <w:rsid w:val="00870FBD"/>
    <w:rsid w:val="00877D24"/>
    <w:rsid w:val="00882149"/>
    <w:rsid w:val="0088445C"/>
    <w:rsid w:val="00884720"/>
    <w:rsid w:val="008927B0"/>
    <w:rsid w:val="008B1AB6"/>
    <w:rsid w:val="008B4FD8"/>
    <w:rsid w:val="008C599D"/>
    <w:rsid w:val="008D23E1"/>
    <w:rsid w:val="008E78D3"/>
    <w:rsid w:val="008F20A3"/>
    <w:rsid w:val="008F7554"/>
    <w:rsid w:val="008F7959"/>
    <w:rsid w:val="009043CA"/>
    <w:rsid w:val="00906791"/>
    <w:rsid w:val="0090792D"/>
    <w:rsid w:val="009129C9"/>
    <w:rsid w:val="009277E2"/>
    <w:rsid w:val="009321F7"/>
    <w:rsid w:val="00932C52"/>
    <w:rsid w:val="0093430C"/>
    <w:rsid w:val="00934FEB"/>
    <w:rsid w:val="00941B0D"/>
    <w:rsid w:val="0094502F"/>
    <w:rsid w:val="00956D62"/>
    <w:rsid w:val="00973C00"/>
    <w:rsid w:val="00974E58"/>
    <w:rsid w:val="009801C3"/>
    <w:rsid w:val="00981FD3"/>
    <w:rsid w:val="00984455"/>
    <w:rsid w:val="00985BB8"/>
    <w:rsid w:val="009A425A"/>
    <w:rsid w:val="009B59C3"/>
    <w:rsid w:val="009B5F82"/>
    <w:rsid w:val="009B66FB"/>
    <w:rsid w:val="009C7E85"/>
    <w:rsid w:val="009D2930"/>
    <w:rsid w:val="009D2F0A"/>
    <w:rsid w:val="009E36E2"/>
    <w:rsid w:val="009E545A"/>
    <w:rsid w:val="009E721A"/>
    <w:rsid w:val="009E7327"/>
    <w:rsid w:val="009F6801"/>
    <w:rsid w:val="00A00CF7"/>
    <w:rsid w:val="00A02476"/>
    <w:rsid w:val="00A07370"/>
    <w:rsid w:val="00A139E4"/>
    <w:rsid w:val="00A215A2"/>
    <w:rsid w:val="00A30546"/>
    <w:rsid w:val="00A35C47"/>
    <w:rsid w:val="00A36D0C"/>
    <w:rsid w:val="00A42BC2"/>
    <w:rsid w:val="00A54D9A"/>
    <w:rsid w:val="00A63FF2"/>
    <w:rsid w:val="00A649BE"/>
    <w:rsid w:val="00A65B24"/>
    <w:rsid w:val="00A942D1"/>
    <w:rsid w:val="00A94741"/>
    <w:rsid w:val="00A951AB"/>
    <w:rsid w:val="00AA13CD"/>
    <w:rsid w:val="00AA4E13"/>
    <w:rsid w:val="00AA583E"/>
    <w:rsid w:val="00AB0D10"/>
    <w:rsid w:val="00AB3FB3"/>
    <w:rsid w:val="00AC2961"/>
    <w:rsid w:val="00AC3E3D"/>
    <w:rsid w:val="00AC618A"/>
    <w:rsid w:val="00AC63D9"/>
    <w:rsid w:val="00AD0EDC"/>
    <w:rsid w:val="00AE2845"/>
    <w:rsid w:val="00AE35EE"/>
    <w:rsid w:val="00AE44E5"/>
    <w:rsid w:val="00AE68E8"/>
    <w:rsid w:val="00AF161E"/>
    <w:rsid w:val="00B0000B"/>
    <w:rsid w:val="00B0001F"/>
    <w:rsid w:val="00B03297"/>
    <w:rsid w:val="00B05F33"/>
    <w:rsid w:val="00B077CF"/>
    <w:rsid w:val="00B42F87"/>
    <w:rsid w:val="00B54126"/>
    <w:rsid w:val="00B641C5"/>
    <w:rsid w:val="00B66BCD"/>
    <w:rsid w:val="00B66BF3"/>
    <w:rsid w:val="00B71ECF"/>
    <w:rsid w:val="00B750C4"/>
    <w:rsid w:val="00BA02E6"/>
    <w:rsid w:val="00BA0965"/>
    <w:rsid w:val="00BB1A94"/>
    <w:rsid w:val="00BB4C96"/>
    <w:rsid w:val="00BC4714"/>
    <w:rsid w:val="00BD2943"/>
    <w:rsid w:val="00BD5E4C"/>
    <w:rsid w:val="00BD73D5"/>
    <w:rsid w:val="00BE22CA"/>
    <w:rsid w:val="00BE4B6F"/>
    <w:rsid w:val="00BE735D"/>
    <w:rsid w:val="00BF444B"/>
    <w:rsid w:val="00C15119"/>
    <w:rsid w:val="00C20850"/>
    <w:rsid w:val="00C21884"/>
    <w:rsid w:val="00C23912"/>
    <w:rsid w:val="00C31827"/>
    <w:rsid w:val="00C32290"/>
    <w:rsid w:val="00C416F5"/>
    <w:rsid w:val="00C42CE0"/>
    <w:rsid w:val="00C51FCE"/>
    <w:rsid w:val="00C7289A"/>
    <w:rsid w:val="00C772B2"/>
    <w:rsid w:val="00C8607E"/>
    <w:rsid w:val="00C86C67"/>
    <w:rsid w:val="00C9479A"/>
    <w:rsid w:val="00C9732F"/>
    <w:rsid w:val="00CA05F4"/>
    <w:rsid w:val="00CA43ED"/>
    <w:rsid w:val="00CB21EC"/>
    <w:rsid w:val="00CB6F78"/>
    <w:rsid w:val="00CB7A96"/>
    <w:rsid w:val="00CE2935"/>
    <w:rsid w:val="00CE2DAB"/>
    <w:rsid w:val="00CE666D"/>
    <w:rsid w:val="00CE73B7"/>
    <w:rsid w:val="00D00F6F"/>
    <w:rsid w:val="00D32406"/>
    <w:rsid w:val="00D32C6C"/>
    <w:rsid w:val="00D338CD"/>
    <w:rsid w:val="00D3652D"/>
    <w:rsid w:val="00D43847"/>
    <w:rsid w:val="00D57A8C"/>
    <w:rsid w:val="00D60C81"/>
    <w:rsid w:val="00D60D78"/>
    <w:rsid w:val="00D63902"/>
    <w:rsid w:val="00D678AD"/>
    <w:rsid w:val="00D83D00"/>
    <w:rsid w:val="00DB1D69"/>
    <w:rsid w:val="00DB3A1B"/>
    <w:rsid w:val="00DB680C"/>
    <w:rsid w:val="00DC780F"/>
    <w:rsid w:val="00DD07F9"/>
    <w:rsid w:val="00DD107B"/>
    <w:rsid w:val="00DE2671"/>
    <w:rsid w:val="00DF083F"/>
    <w:rsid w:val="00E01A58"/>
    <w:rsid w:val="00E039FC"/>
    <w:rsid w:val="00E155C8"/>
    <w:rsid w:val="00E203A8"/>
    <w:rsid w:val="00E20E7D"/>
    <w:rsid w:val="00E25487"/>
    <w:rsid w:val="00E2671E"/>
    <w:rsid w:val="00E30B3C"/>
    <w:rsid w:val="00E4161B"/>
    <w:rsid w:val="00E43D03"/>
    <w:rsid w:val="00E60B63"/>
    <w:rsid w:val="00E71843"/>
    <w:rsid w:val="00E72453"/>
    <w:rsid w:val="00E738A4"/>
    <w:rsid w:val="00E86E98"/>
    <w:rsid w:val="00E95449"/>
    <w:rsid w:val="00E9643A"/>
    <w:rsid w:val="00EA04C3"/>
    <w:rsid w:val="00EC6056"/>
    <w:rsid w:val="00EE7540"/>
    <w:rsid w:val="00EF76FC"/>
    <w:rsid w:val="00F00F64"/>
    <w:rsid w:val="00F12058"/>
    <w:rsid w:val="00F13586"/>
    <w:rsid w:val="00F20403"/>
    <w:rsid w:val="00F239AB"/>
    <w:rsid w:val="00F36714"/>
    <w:rsid w:val="00F474B0"/>
    <w:rsid w:val="00F534C6"/>
    <w:rsid w:val="00F56246"/>
    <w:rsid w:val="00F62557"/>
    <w:rsid w:val="00F72083"/>
    <w:rsid w:val="00F91E75"/>
    <w:rsid w:val="00F9436A"/>
    <w:rsid w:val="00FA1539"/>
    <w:rsid w:val="00FA374F"/>
    <w:rsid w:val="00FA3B1D"/>
    <w:rsid w:val="00FA521B"/>
    <w:rsid w:val="00FA5CED"/>
    <w:rsid w:val="00FA6DD1"/>
    <w:rsid w:val="00FB086C"/>
    <w:rsid w:val="00FB40A0"/>
    <w:rsid w:val="00FB5F6D"/>
    <w:rsid w:val="00FC0E35"/>
    <w:rsid w:val="00FC16B7"/>
    <w:rsid w:val="00FC1AED"/>
    <w:rsid w:val="00FC2430"/>
    <w:rsid w:val="00FC4F35"/>
    <w:rsid w:val="00FC6500"/>
    <w:rsid w:val="00FD2122"/>
    <w:rsid w:val="00FD253D"/>
    <w:rsid w:val="00FD2641"/>
    <w:rsid w:val="00FD2A07"/>
    <w:rsid w:val="00FD70B1"/>
    <w:rsid w:val="00FD7A33"/>
    <w:rsid w:val="00FE0C0A"/>
    <w:rsid w:val="00FE2000"/>
    <w:rsid w:val="00FE3728"/>
    <w:rsid w:val="00FE6E36"/>
    <w:rsid w:val="00FE78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1"/>
    <o:shapelayout v:ext="edit">
      <o:idmap v:ext="edit" data="1"/>
    </o:shapelayout>
  </w:shapeDefaults>
  <w:decimalSymbol w:val="."/>
  <w:listSeparator w:val=","/>
  <w14:docId w14:val="4DB2D6ED"/>
  <w15:docId w15:val="{51011DDF-7948-4E2A-BC75-80E95985B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Personal">
    <w:name w:val="Personal"/>
    <w:basedOn w:val="Normal"/>
    <w:rPr>
      <w:b/>
    </w:rPr>
  </w:style>
  <w:style w:type="character" w:customStyle="1" w:styleId="BodyBold">
    <w:name w:val="Body Bold"/>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rPr>
      <w:b/>
    </w:rPr>
  </w:style>
  <w:style w:type="character" w:customStyle="1" w:styleId="DateCharacterstyle">
    <w:name w:val="Date Character style"/>
    <w:rPr>
      <w:b/>
    </w:rPr>
  </w:style>
  <w:style w:type="paragraph" w:customStyle="1" w:styleId="Heading2Bold">
    <w:name w:val="Heading 2 Bold"/>
    <w:basedOn w:val="Heading2"/>
    <w:rPr>
      <w:b/>
      <w:noProof/>
    </w:rPr>
  </w:style>
  <w:style w:type="paragraph" w:customStyle="1" w:styleId="Bullettext">
    <w:name w:val="Bullet text"/>
    <w:basedOn w:val="Body"/>
    <w:pPr>
      <w:numPr>
        <w:numId w:val="1"/>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link w:val="BalloonText"/>
    <w:rsid w:val="00C9479A"/>
    <w:rPr>
      <w:rFonts w:ascii="Tahoma" w:hAnsi="Tahoma" w:cs="Tahoma"/>
      <w:sz w:val="16"/>
      <w:szCs w:val="16"/>
      <w:lang w:eastAsia="en-US"/>
    </w:rPr>
  </w:style>
  <w:style w:type="paragraph" w:styleId="ListParagraph">
    <w:name w:val="List Paragraph"/>
    <w:basedOn w:val="Normal"/>
    <w:uiPriority w:val="34"/>
    <w:qFormat/>
    <w:rsid w:val="00EC6056"/>
    <w:pPr>
      <w:widowControl/>
      <w:spacing w:line="240" w:lineRule="auto"/>
      <w:ind w:left="720"/>
    </w:pPr>
    <w:rPr>
      <w:rFonts w:ascii="Verdana" w:eastAsia="Calibri" w:hAnsi="Verdana"/>
      <w:sz w:val="24"/>
      <w:szCs w:val="24"/>
      <w:lang w:eastAsia="en-GB"/>
    </w:rPr>
  </w:style>
  <w:style w:type="paragraph" w:customStyle="1" w:styleId="Default">
    <w:name w:val="Default"/>
    <w:rsid w:val="00EC6056"/>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rsid w:val="00EC6056"/>
    <w:pPr>
      <w:widowControl/>
      <w:spacing w:line="240" w:lineRule="auto"/>
    </w:pPr>
    <w:rPr>
      <w:rFonts w:ascii="Times New Roman" w:hAnsi="Times New Roman"/>
      <w:sz w:val="20"/>
      <w:lang w:eastAsia="en-GB"/>
    </w:rPr>
  </w:style>
  <w:style w:type="character" w:customStyle="1" w:styleId="FootnoteTextChar">
    <w:name w:val="Footnote Text Char"/>
    <w:basedOn w:val="DefaultParagraphFont"/>
    <w:link w:val="FootnoteText"/>
    <w:uiPriority w:val="99"/>
    <w:rsid w:val="00EC6056"/>
  </w:style>
  <w:style w:type="character" w:styleId="FootnoteReference">
    <w:name w:val="footnote reference"/>
    <w:uiPriority w:val="99"/>
    <w:rsid w:val="00EC6056"/>
    <w:rPr>
      <w:vertAlign w:val="superscript"/>
    </w:rPr>
  </w:style>
  <w:style w:type="character" w:styleId="CommentReference">
    <w:name w:val="annotation reference"/>
    <w:uiPriority w:val="99"/>
    <w:rsid w:val="00EC6056"/>
    <w:rPr>
      <w:sz w:val="16"/>
      <w:szCs w:val="16"/>
    </w:rPr>
  </w:style>
  <w:style w:type="paragraph" w:styleId="CommentText">
    <w:name w:val="annotation text"/>
    <w:basedOn w:val="Normal"/>
    <w:link w:val="CommentTextChar"/>
    <w:uiPriority w:val="99"/>
    <w:rsid w:val="00EC6056"/>
    <w:pPr>
      <w:widowControl/>
      <w:spacing w:line="240" w:lineRule="auto"/>
    </w:pPr>
    <w:rPr>
      <w:rFonts w:ascii="Times New Roman" w:hAnsi="Times New Roman"/>
      <w:sz w:val="20"/>
      <w:lang w:eastAsia="en-GB"/>
    </w:rPr>
  </w:style>
  <w:style w:type="character" w:customStyle="1" w:styleId="CommentTextChar">
    <w:name w:val="Comment Text Char"/>
    <w:basedOn w:val="DefaultParagraphFont"/>
    <w:link w:val="CommentText"/>
    <w:uiPriority w:val="99"/>
    <w:rsid w:val="00EC6056"/>
  </w:style>
  <w:style w:type="character" w:customStyle="1" w:styleId="FooterChar">
    <w:name w:val="Footer Char"/>
    <w:link w:val="Footer"/>
    <w:uiPriority w:val="99"/>
    <w:rsid w:val="00A54D9A"/>
    <w:rPr>
      <w:rFonts w:ascii="Frutiger 45 Light" w:hAnsi="Frutiger 45 Light"/>
      <w:sz w:val="22"/>
      <w:lang w:eastAsia="en-US"/>
    </w:rPr>
  </w:style>
  <w:style w:type="paragraph" w:styleId="CommentSubject">
    <w:name w:val="annotation subject"/>
    <w:basedOn w:val="CommentText"/>
    <w:next w:val="CommentText"/>
    <w:link w:val="CommentSubjectChar"/>
    <w:rsid w:val="004E5BD7"/>
    <w:pPr>
      <w:widowControl w:val="0"/>
    </w:pPr>
    <w:rPr>
      <w:rFonts w:ascii="Frutiger 45 Light" w:hAnsi="Frutiger 45 Light"/>
      <w:b/>
      <w:bCs/>
      <w:lang w:eastAsia="en-US"/>
    </w:rPr>
  </w:style>
  <w:style w:type="character" w:customStyle="1" w:styleId="CommentSubjectChar">
    <w:name w:val="Comment Subject Char"/>
    <w:link w:val="CommentSubject"/>
    <w:rsid w:val="004E5BD7"/>
    <w:rPr>
      <w:rFonts w:ascii="Frutiger 45 Light" w:hAnsi="Frutiger 45 Light"/>
      <w:b/>
      <w:bCs/>
      <w:lang w:eastAsia="en-US"/>
    </w:rPr>
  </w:style>
  <w:style w:type="character" w:styleId="FollowedHyperlink">
    <w:name w:val="FollowedHyperlink"/>
    <w:rsid w:val="002C5942"/>
    <w:rPr>
      <w:color w:val="800080"/>
      <w:u w:val="single"/>
    </w:rPr>
  </w:style>
  <w:style w:type="paragraph" w:customStyle="1" w:styleId="BodyText1">
    <w:name w:val="Body Text1"/>
    <w:basedOn w:val="Normal"/>
    <w:link w:val="BodyText1Char"/>
    <w:qFormat/>
    <w:rsid w:val="00CA05F4"/>
    <w:pPr>
      <w:widowControl/>
      <w:numPr>
        <w:ilvl w:val="1"/>
        <w:numId w:val="3"/>
      </w:numPr>
      <w:spacing w:before="240" w:after="120" w:line="480" w:lineRule="auto"/>
      <w:jc w:val="both"/>
    </w:pPr>
    <w:rPr>
      <w:rFonts w:ascii="Arial" w:hAnsi="Arial" w:cs="Arial"/>
      <w:szCs w:val="22"/>
      <w:lang w:eastAsia="en-GB"/>
    </w:rPr>
  </w:style>
  <w:style w:type="character" w:customStyle="1" w:styleId="BodyText1Char">
    <w:name w:val="Body Text1 Char"/>
    <w:link w:val="BodyText1"/>
    <w:rsid w:val="00CA05F4"/>
    <w:rPr>
      <w:rFonts w:ascii="Arial" w:hAnsi="Arial" w:cs="Arial"/>
      <w:sz w:val="22"/>
      <w:szCs w:val="22"/>
    </w:rPr>
  </w:style>
  <w:style w:type="character" w:customStyle="1" w:styleId="A4">
    <w:name w:val="A4"/>
    <w:uiPriority w:val="99"/>
    <w:rsid w:val="00B03297"/>
    <w:rPr>
      <w:color w:val="000000"/>
    </w:rPr>
  </w:style>
  <w:style w:type="character" w:styleId="Emphasis">
    <w:name w:val="Emphasis"/>
    <w:uiPriority w:val="20"/>
    <w:qFormat/>
    <w:rsid w:val="00073AE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73917">
      <w:bodyDiv w:val="1"/>
      <w:marLeft w:val="0"/>
      <w:marRight w:val="0"/>
      <w:marTop w:val="0"/>
      <w:marBottom w:val="0"/>
      <w:divBdr>
        <w:top w:val="none" w:sz="0" w:space="0" w:color="auto"/>
        <w:left w:val="none" w:sz="0" w:space="0" w:color="auto"/>
        <w:bottom w:val="none" w:sz="0" w:space="0" w:color="auto"/>
        <w:right w:val="none" w:sz="0" w:space="0" w:color="auto"/>
      </w:divBdr>
    </w:div>
    <w:div w:id="161896603">
      <w:bodyDiv w:val="1"/>
      <w:marLeft w:val="0"/>
      <w:marRight w:val="0"/>
      <w:marTop w:val="0"/>
      <w:marBottom w:val="0"/>
      <w:divBdr>
        <w:top w:val="none" w:sz="0" w:space="0" w:color="auto"/>
        <w:left w:val="none" w:sz="0" w:space="0" w:color="auto"/>
        <w:bottom w:val="none" w:sz="0" w:space="0" w:color="auto"/>
        <w:right w:val="none" w:sz="0" w:space="0" w:color="auto"/>
      </w:divBdr>
    </w:div>
    <w:div w:id="223415557">
      <w:bodyDiv w:val="1"/>
      <w:marLeft w:val="0"/>
      <w:marRight w:val="0"/>
      <w:marTop w:val="0"/>
      <w:marBottom w:val="0"/>
      <w:divBdr>
        <w:top w:val="none" w:sz="0" w:space="0" w:color="auto"/>
        <w:left w:val="none" w:sz="0" w:space="0" w:color="auto"/>
        <w:bottom w:val="none" w:sz="0" w:space="0" w:color="auto"/>
        <w:right w:val="none" w:sz="0" w:space="0" w:color="auto"/>
      </w:divBdr>
    </w:div>
    <w:div w:id="452140900">
      <w:bodyDiv w:val="1"/>
      <w:marLeft w:val="0"/>
      <w:marRight w:val="0"/>
      <w:marTop w:val="0"/>
      <w:marBottom w:val="0"/>
      <w:divBdr>
        <w:top w:val="none" w:sz="0" w:space="0" w:color="auto"/>
        <w:left w:val="none" w:sz="0" w:space="0" w:color="auto"/>
        <w:bottom w:val="none" w:sz="0" w:space="0" w:color="auto"/>
        <w:right w:val="none" w:sz="0" w:space="0" w:color="auto"/>
      </w:divBdr>
    </w:div>
    <w:div w:id="508712301">
      <w:bodyDiv w:val="1"/>
      <w:marLeft w:val="0"/>
      <w:marRight w:val="0"/>
      <w:marTop w:val="0"/>
      <w:marBottom w:val="0"/>
      <w:divBdr>
        <w:top w:val="none" w:sz="0" w:space="0" w:color="auto"/>
        <w:left w:val="none" w:sz="0" w:space="0" w:color="auto"/>
        <w:bottom w:val="none" w:sz="0" w:space="0" w:color="auto"/>
        <w:right w:val="none" w:sz="0" w:space="0" w:color="auto"/>
      </w:divBdr>
    </w:div>
    <w:div w:id="783576841">
      <w:bodyDiv w:val="1"/>
      <w:marLeft w:val="0"/>
      <w:marRight w:val="0"/>
      <w:marTop w:val="0"/>
      <w:marBottom w:val="0"/>
      <w:divBdr>
        <w:top w:val="none" w:sz="0" w:space="0" w:color="auto"/>
        <w:left w:val="none" w:sz="0" w:space="0" w:color="auto"/>
        <w:bottom w:val="none" w:sz="0" w:space="0" w:color="auto"/>
        <w:right w:val="none" w:sz="0" w:space="0" w:color="auto"/>
      </w:divBdr>
    </w:div>
    <w:div w:id="856697380">
      <w:bodyDiv w:val="1"/>
      <w:marLeft w:val="0"/>
      <w:marRight w:val="0"/>
      <w:marTop w:val="0"/>
      <w:marBottom w:val="0"/>
      <w:divBdr>
        <w:top w:val="none" w:sz="0" w:space="0" w:color="auto"/>
        <w:left w:val="none" w:sz="0" w:space="0" w:color="auto"/>
        <w:bottom w:val="none" w:sz="0" w:space="0" w:color="auto"/>
        <w:right w:val="none" w:sz="0" w:space="0" w:color="auto"/>
      </w:divBdr>
    </w:div>
    <w:div w:id="962225911">
      <w:bodyDiv w:val="1"/>
      <w:marLeft w:val="0"/>
      <w:marRight w:val="0"/>
      <w:marTop w:val="0"/>
      <w:marBottom w:val="0"/>
      <w:divBdr>
        <w:top w:val="none" w:sz="0" w:space="0" w:color="auto"/>
        <w:left w:val="none" w:sz="0" w:space="0" w:color="auto"/>
        <w:bottom w:val="none" w:sz="0" w:space="0" w:color="auto"/>
        <w:right w:val="none" w:sz="0" w:space="0" w:color="auto"/>
      </w:divBdr>
    </w:div>
    <w:div w:id="1023281965">
      <w:bodyDiv w:val="1"/>
      <w:marLeft w:val="0"/>
      <w:marRight w:val="0"/>
      <w:marTop w:val="0"/>
      <w:marBottom w:val="0"/>
      <w:divBdr>
        <w:top w:val="none" w:sz="0" w:space="0" w:color="auto"/>
        <w:left w:val="none" w:sz="0" w:space="0" w:color="auto"/>
        <w:bottom w:val="none" w:sz="0" w:space="0" w:color="auto"/>
        <w:right w:val="none" w:sz="0" w:space="0" w:color="auto"/>
      </w:divBdr>
    </w:div>
    <w:div w:id="1095712831">
      <w:bodyDiv w:val="1"/>
      <w:marLeft w:val="0"/>
      <w:marRight w:val="0"/>
      <w:marTop w:val="0"/>
      <w:marBottom w:val="0"/>
      <w:divBdr>
        <w:top w:val="none" w:sz="0" w:space="0" w:color="auto"/>
        <w:left w:val="none" w:sz="0" w:space="0" w:color="auto"/>
        <w:bottom w:val="none" w:sz="0" w:space="0" w:color="auto"/>
        <w:right w:val="none" w:sz="0" w:space="0" w:color="auto"/>
      </w:divBdr>
    </w:div>
    <w:div w:id="1539968883">
      <w:bodyDiv w:val="1"/>
      <w:marLeft w:val="0"/>
      <w:marRight w:val="0"/>
      <w:marTop w:val="0"/>
      <w:marBottom w:val="0"/>
      <w:divBdr>
        <w:top w:val="none" w:sz="0" w:space="0" w:color="auto"/>
        <w:left w:val="none" w:sz="0" w:space="0" w:color="auto"/>
        <w:bottom w:val="none" w:sz="0" w:space="0" w:color="auto"/>
        <w:right w:val="none" w:sz="0" w:space="0" w:color="auto"/>
      </w:divBdr>
    </w:div>
    <w:div w:id="1669365009">
      <w:bodyDiv w:val="1"/>
      <w:marLeft w:val="0"/>
      <w:marRight w:val="0"/>
      <w:marTop w:val="0"/>
      <w:marBottom w:val="0"/>
      <w:divBdr>
        <w:top w:val="none" w:sz="0" w:space="0" w:color="auto"/>
        <w:left w:val="none" w:sz="0" w:space="0" w:color="auto"/>
        <w:bottom w:val="none" w:sz="0" w:space="0" w:color="auto"/>
        <w:right w:val="none" w:sz="0" w:space="0" w:color="auto"/>
      </w:divBdr>
    </w:div>
    <w:div w:id="1852135216">
      <w:bodyDiv w:val="1"/>
      <w:marLeft w:val="0"/>
      <w:marRight w:val="0"/>
      <w:marTop w:val="0"/>
      <w:marBottom w:val="0"/>
      <w:divBdr>
        <w:top w:val="none" w:sz="0" w:space="0" w:color="auto"/>
        <w:left w:val="none" w:sz="0" w:space="0" w:color="auto"/>
        <w:bottom w:val="none" w:sz="0" w:space="0" w:color="auto"/>
        <w:right w:val="none" w:sz="0" w:space="0" w:color="auto"/>
      </w:divBdr>
      <w:divsChild>
        <w:div w:id="103697369">
          <w:marLeft w:val="0"/>
          <w:marRight w:val="0"/>
          <w:marTop w:val="0"/>
          <w:marBottom w:val="0"/>
          <w:divBdr>
            <w:top w:val="none" w:sz="0" w:space="0" w:color="auto"/>
            <w:left w:val="none" w:sz="0" w:space="0" w:color="auto"/>
            <w:bottom w:val="none" w:sz="0" w:space="0" w:color="auto"/>
            <w:right w:val="none" w:sz="0" w:space="0" w:color="auto"/>
          </w:divBdr>
        </w:div>
        <w:div w:id="115833199">
          <w:marLeft w:val="0"/>
          <w:marRight w:val="0"/>
          <w:marTop w:val="0"/>
          <w:marBottom w:val="0"/>
          <w:divBdr>
            <w:top w:val="none" w:sz="0" w:space="0" w:color="auto"/>
            <w:left w:val="none" w:sz="0" w:space="0" w:color="auto"/>
            <w:bottom w:val="none" w:sz="0" w:space="0" w:color="auto"/>
            <w:right w:val="none" w:sz="0" w:space="0" w:color="auto"/>
          </w:divBdr>
        </w:div>
        <w:div w:id="123353875">
          <w:marLeft w:val="0"/>
          <w:marRight w:val="0"/>
          <w:marTop w:val="0"/>
          <w:marBottom w:val="0"/>
          <w:divBdr>
            <w:top w:val="none" w:sz="0" w:space="0" w:color="auto"/>
            <w:left w:val="none" w:sz="0" w:space="0" w:color="auto"/>
            <w:bottom w:val="none" w:sz="0" w:space="0" w:color="auto"/>
            <w:right w:val="none" w:sz="0" w:space="0" w:color="auto"/>
          </w:divBdr>
        </w:div>
        <w:div w:id="323513337">
          <w:marLeft w:val="0"/>
          <w:marRight w:val="0"/>
          <w:marTop w:val="0"/>
          <w:marBottom w:val="0"/>
          <w:divBdr>
            <w:top w:val="none" w:sz="0" w:space="0" w:color="auto"/>
            <w:left w:val="none" w:sz="0" w:space="0" w:color="auto"/>
            <w:bottom w:val="none" w:sz="0" w:space="0" w:color="auto"/>
            <w:right w:val="none" w:sz="0" w:space="0" w:color="auto"/>
          </w:divBdr>
        </w:div>
        <w:div w:id="345790253">
          <w:marLeft w:val="0"/>
          <w:marRight w:val="0"/>
          <w:marTop w:val="0"/>
          <w:marBottom w:val="0"/>
          <w:divBdr>
            <w:top w:val="none" w:sz="0" w:space="0" w:color="auto"/>
            <w:left w:val="none" w:sz="0" w:space="0" w:color="auto"/>
            <w:bottom w:val="none" w:sz="0" w:space="0" w:color="auto"/>
            <w:right w:val="none" w:sz="0" w:space="0" w:color="auto"/>
          </w:divBdr>
        </w:div>
        <w:div w:id="369962910">
          <w:marLeft w:val="0"/>
          <w:marRight w:val="0"/>
          <w:marTop w:val="0"/>
          <w:marBottom w:val="0"/>
          <w:divBdr>
            <w:top w:val="none" w:sz="0" w:space="0" w:color="auto"/>
            <w:left w:val="none" w:sz="0" w:space="0" w:color="auto"/>
            <w:bottom w:val="none" w:sz="0" w:space="0" w:color="auto"/>
            <w:right w:val="none" w:sz="0" w:space="0" w:color="auto"/>
          </w:divBdr>
        </w:div>
        <w:div w:id="662053941">
          <w:marLeft w:val="0"/>
          <w:marRight w:val="0"/>
          <w:marTop w:val="0"/>
          <w:marBottom w:val="0"/>
          <w:divBdr>
            <w:top w:val="none" w:sz="0" w:space="0" w:color="auto"/>
            <w:left w:val="none" w:sz="0" w:space="0" w:color="auto"/>
            <w:bottom w:val="none" w:sz="0" w:space="0" w:color="auto"/>
            <w:right w:val="none" w:sz="0" w:space="0" w:color="auto"/>
          </w:divBdr>
        </w:div>
        <w:div w:id="776288825">
          <w:marLeft w:val="0"/>
          <w:marRight w:val="0"/>
          <w:marTop w:val="0"/>
          <w:marBottom w:val="0"/>
          <w:divBdr>
            <w:top w:val="none" w:sz="0" w:space="0" w:color="auto"/>
            <w:left w:val="none" w:sz="0" w:space="0" w:color="auto"/>
            <w:bottom w:val="none" w:sz="0" w:space="0" w:color="auto"/>
            <w:right w:val="none" w:sz="0" w:space="0" w:color="auto"/>
          </w:divBdr>
        </w:div>
        <w:div w:id="912660365">
          <w:marLeft w:val="0"/>
          <w:marRight w:val="0"/>
          <w:marTop w:val="0"/>
          <w:marBottom w:val="0"/>
          <w:divBdr>
            <w:top w:val="none" w:sz="0" w:space="0" w:color="auto"/>
            <w:left w:val="none" w:sz="0" w:space="0" w:color="auto"/>
            <w:bottom w:val="none" w:sz="0" w:space="0" w:color="auto"/>
            <w:right w:val="none" w:sz="0" w:space="0" w:color="auto"/>
          </w:divBdr>
        </w:div>
        <w:div w:id="1237134399">
          <w:marLeft w:val="0"/>
          <w:marRight w:val="0"/>
          <w:marTop w:val="0"/>
          <w:marBottom w:val="0"/>
          <w:divBdr>
            <w:top w:val="none" w:sz="0" w:space="0" w:color="auto"/>
            <w:left w:val="none" w:sz="0" w:space="0" w:color="auto"/>
            <w:bottom w:val="none" w:sz="0" w:space="0" w:color="auto"/>
            <w:right w:val="none" w:sz="0" w:space="0" w:color="auto"/>
          </w:divBdr>
        </w:div>
        <w:div w:id="1282493904">
          <w:marLeft w:val="0"/>
          <w:marRight w:val="0"/>
          <w:marTop w:val="0"/>
          <w:marBottom w:val="0"/>
          <w:divBdr>
            <w:top w:val="none" w:sz="0" w:space="0" w:color="auto"/>
            <w:left w:val="none" w:sz="0" w:space="0" w:color="auto"/>
            <w:bottom w:val="none" w:sz="0" w:space="0" w:color="auto"/>
            <w:right w:val="none" w:sz="0" w:space="0" w:color="auto"/>
          </w:divBdr>
        </w:div>
        <w:div w:id="1386180649">
          <w:marLeft w:val="0"/>
          <w:marRight w:val="0"/>
          <w:marTop w:val="0"/>
          <w:marBottom w:val="0"/>
          <w:divBdr>
            <w:top w:val="none" w:sz="0" w:space="0" w:color="auto"/>
            <w:left w:val="none" w:sz="0" w:space="0" w:color="auto"/>
            <w:bottom w:val="none" w:sz="0" w:space="0" w:color="auto"/>
            <w:right w:val="none" w:sz="0" w:space="0" w:color="auto"/>
          </w:divBdr>
        </w:div>
        <w:div w:id="1426532356">
          <w:marLeft w:val="0"/>
          <w:marRight w:val="0"/>
          <w:marTop w:val="0"/>
          <w:marBottom w:val="0"/>
          <w:divBdr>
            <w:top w:val="none" w:sz="0" w:space="0" w:color="auto"/>
            <w:left w:val="none" w:sz="0" w:space="0" w:color="auto"/>
            <w:bottom w:val="none" w:sz="0" w:space="0" w:color="auto"/>
            <w:right w:val="none" w:sz="0" w:space="0" w:color="auto"/>
          </w:divBdr>
        </w:div>
        <w:div w:id="1502425570">
          <w:marLeft w:val="0"/>
          <w:marRight w:val="0"/>
          <w:marTop w:val="0"/>
          <w:marBottom w:val="0"/>
          <w:divBdr>
            <w:top w:val="none" w:sz="0" w:space="0" w:color="auto"/>
            <w:left w:val="none" w:sz="0" w:space="0" w:color="auto"/>
            <w:bottom w:val="none" w:sz="0" w:space="0" w:color="auto"/>
            <w:right w:val="none" w:sz="0" w:space="0" w:color="auto"/>
          </w:divBdr>
        </w:div>
        <w:div w:id="1588421643">
          <w:marLeft w:val="0"/>
          <w:marRight w:val="0"/>
          <w:marTop w:val="0"/>
          <w:marBottom w:val="0"/>
          <w:divBdr>
            <w:top w:val="none" w:sz="0" w:space="0" w:color="auto"/>
            <w:left w:val="none" w:sz="0" w:space="0" w:color="auto"/>
            <w:bottom w:val="none" w:sz="0" w:space="0" w:color="auto"/>
            <w:right w:val="none" w:sz="0" w:space="0" w:color="auto"/>
          </w:divBdr>
        </w:div>
        <w:div w:id="1748729437">
          <w:marLeft w:val="0"/>
          <w:marRight w:val="0"/>
          <w:marTop w:val="0"/>
          <w:marBottom w:val="0"/>
          <w:divBdr>
            <w:top w:val="none" w:sz="0" w:space="0" w:color="auto"/>
            <w:left w:val="none" w:sz="0" w:space="0" w:color="auto"/>
            <w:bottom w:val="none" w:sz="0" w:space="0" w:color="auto"/>
            <w:right w:val="none" w:sz="0" w:space="0" w:color="auto"/>
          </w:divBdr>
        </w:div>
        <w:div w:id="1894384097">
          <w:marLeft w:val="0"/>
          <w:marRight w:val="0"/>
          <w:marTop w:val="0"/>
          <w:marBottom w:val="0"/>
          <w:divBdr>
            <w:top w:val="none" w:sz="0" w:space="0" w:color="auto"/>
            <w:left w:val="none" w:sz="0" w:space="0" w:color="auto"/>
            <w:bottom w:val="none" w:sz="0" w:space="0" w:color="auto"/>
            <w:right w:val="none" w:sz="0" w:space="0" w:color="auto"/>
          </w:divBdr>
        </w:div>
        <w:div w:id="2116628473">
          <w:marLeft w:val="0"/>
          <w:marRight w:val="0"/>
          <w:marTop w:val="0"/>
          <w:marBottom w:val="0"/>
          <w:divBdr>
            <w:top w:val="none" w:sz="0" w:space="0" w:color="auto"/>
            <w:left w:val="none" w:sz="0" w:space="0" w:color="auto"/>
            <w:bottom w:val="none" w:sz="0" w:space="0" w:color="auto"/>
            <w:right w:val="none" w:sz="0" w:space="0" w:color="auto"/>
          </w:divBdr>
        </w:div>
        <w:div w:id="2140610377">
          <w:marLeft w:val="0"/>
          <w:marRight w:val="0"/>
          <w:marTop w:val="0"/>
          <w:marBottom w:val="0"/>
          <w:divBdr>
            <w:top w:val="none" w:sz="0" w:space="0" w:color="auto"/>
            <w:left w:val="none" w:sz="0" w:space="0" w:color="auto"/>
            <w:bottom w:val="none" w:sz="0" w:space="0" w:color="auto"/>
            <w:right w:val="none" w:sz="0" w:space="0" w:color="auto"/>
          </w:divBdr>
        </w:div>
      </w:divsChild>
    </w:div>
    <w:div w:id="1855806521">
      <w:bodyDiv w:val="1"/>
      <w:marLeft w:val="0"/>
      <w:marRight w:val="0"/>
      <w:marTop w:val="0"/>
      <w:marBottom w:val="0"/>
      <w:divBdr>
        <w:top w:val="none" w:sz="0" w:space="0" w:color="auto"/>
        <w:left w:val="none" w:sz="0" w:space="0" w:color="auto"/>
        <w:bottom w:val="none" w:sz="0" w:space="0" w:color="auto"/>
        <w:right w:val="none" w:sz="0" w:space="0" w:color="auto"/>
      </w:divBdr>
      <w:divsChild>
        <w:div w:id="87696522">
          <w:marLeft w:val="0"/>
          <w:marRight w:val="0"/>
          <w:marTop w:val="0"/>
          <w:marBottom w:val="0"/>
          <w:divBdr>
            <w:top w:val="none" w:sz="0" w:space="0" w:color="auto"/>
            <w:left w:val="none" w:sz="0" w:space="0" w:color="auto"/>
            <w:bottom w:val="none" w:sz="0" w:space="0" w:color="auto"/>
            <w:right w:val="none" w:sz="0" w:space="0" w:color="auto"/>
          </w:divBdr>
        </w:div>
        <w:div w:id="384794474">
          <w:marLeft w:val="0"/>
          <w:marRight w:val="0"/>
          <w:marTop w:val="0"/>
          <w:marBottom w:val="0"/>
          <w:divBdr>
            <w:top w:val="none" w:sz="0" w:space="0" w:color="auto"/>
            <w:left w:val="none" w:sz="0" w:space="0" w:color="auto"/>
            <w:bottom w:val="none" w:sz="0" w:space="0" w:color="auto"/>
            <w:right w:val="none" w:sz="0" w:space="0" w:color="auto"/>
          </w:divBdr>
        </w:div>
        <w:div w:id="398214903">
          <w:marLeft w:val="0"/>
          <w:marRight w:val="0"/>
          <w:marTop w:val="0"/>
          <w:marBottom w:val="0"/>
          <w:divBdr>
            <w:top w:val="none" w:sz="0" w:space="0" w:color="auto"/>
            <w:left w:val="none" w:sz="0" w:space="0" w:color="auto"/>
            <w:bottom w:val="none" w:sz="0" w:space="0" w:color="auto"/>
            <w:right w:val="none" w:sz="0" w:space="0" w:color="auto"/>
          </w:divBdr>
        </w:div>
        <w:div w:id="408505512">
          <w:marLeft w:val="0"/>
          <w:marRight w:val="0"/>
          <w:marTop w:val="0"/>
          <w:marBottom w:val="0"/>
          <w:divBdr>
            <w:top w:val="none" w:sz="0" w:space="0" w:color="auto"/>
            <w:left w:val="none" w:sz="0" w:space="0" w:color="auto"/>
            <w:bottom w:val="none" w:sz="0" w:space="0" w:color="auto"/>
            <w:right w:val="none" w:sz="0" w:space="0" w:color="auto"/>
          </w:divBdr>
        </w:div>
        <w:div w:id="438185669">
          <w:marLeft w:val="0"/>
          <w:marRight w:val="0"/>
          <w:marTop w:val="0"/>
          <w:marBottom w:val="0"/>
          <w:divBdr>
            <w:top w:val="none" w:sz="0" w:space="0" w:color="auto"/>
            <w:left w:val="none" w:sz="0" w:space="0" w:color="auto"/>
            <w:bottom w:val="none" w:sz="0" w:space="0" w:color="auto"/>
            <w:right w:val="none" w:sz="0" w:space="0" w:color="auto"/>
          </w:divBdr>
        </w:div>
        <w:div w:id="567500772">
          <w:marLeft w:val="0"/>
          <w:marRight w:val="0"/>
          <w:marTop w:val="0"/>
          <w:marBottom w:val="0"/>
          <w:divBdr>
            <w:top w:val="none" w:sz="0" w:space="0" w:color="auto"/>
            <w:left w:val="none" w:sz="0" w:space="0" w:color="auto"/>
            <w:bottom w:val="none" w:sz="0" w:space="0" w:color="auto"/>
            <w:right w:val="none" w:sz="0" w:space="0" w:color="auto"/>
          </w:divBdr>
        </w:div>
        <w:div w:id="773745860">
          <w:marLeft w:val="0"/>
          <w:marRight w:val="0"/>
          <w:marTop w:val="0"/>
          <w:marBottom w:val="0"/>
          <w:divBdr>
            <w:top w:val="none" w:sz="0" w:space="0" w:color="auto"/>
            <w:left w:val="none" w:sz="0" w:space="0" w:color="auto"/>
            <w:bottom w:val="none" w:sz="0" w:space="0" w:color="auto"/>
            <w:right w:val="none" w:sz="0" w:space="0" w:color="auto"/>
          </w:divBdr>
        </w:div>
        <w:div w:id="786891830">
          <w:marLeft w:val="0"/>
          <w:marRight w:val="0"/>
          <w:marTop w:val="0"/>
          <w:marBottom w:val="0"/>
          <w:divBdr>
            <w:top w:val="none" w:sz="0" w:space="0" w:color="auto"/>
            <w:left w:val="none" w:sz="0" w:space="0" w:color="auto"/>
            <w:bottom w:val="none" w:sz="0" w:space="0" w:color="auto"/>
            <w:right w:val="none" w:sz="0" w:space="0" w:color="auto"/>
          </w:divBdr>
        </w:div>
        <w:div w:id="847794890">
          <w:marLeft w:val="0"/>
          <w:marRight w:val="0"/>
          <w:marTop w:val="0"/>
          <w:marBottom w:val="0"/>
          <w:divBdr>
            <w:top w:val="none" w:sz="0" w:space="0" w:color="auto"/>
            <w:left w:val="none" w:sz="0" w:space="0" w:color="auto"/>
            <w:bottom w:val="none" w:sz="0" w:space="0" w:color="auto"/>
            <w:right w:val="none" w:sz="0" w:space="0" w:color="auto"/>
          </w:divBdr>
        </w:div>
        <w:div w:id="1008293064">
          <w:marLeft w:val="0"/>
          <w:marRight w:val="0"/>
          <w:marTop w:val="0"/>
          <w:marBottom w:val="0"/>
          <w:divBdr>
            <w:top w:val="none" w:sz="0" w:space="0" w:color="auto"/>
            <w:left w:val="none" w:sz="0" w:space="0" w:color="auto"/>
            <w:bottom w:val="none" w:sz="0" w:space="0" w:color="auto"/>
            <w:right w:val="none" w:sz="0" w:space="0" w:color="auto"/>
          </w:divBdr>
        </w:div>
        <w:div w:id="1039085037">
          <w:marLeft w:val="0"/>
          <w:marRight w:val="0"/>
          <w:marTop w:val="0"/>
          <w:marBottom w:val="0"/>
          <w:divBdr>
            <w:top w:val="none" w:sz="0" w:space="0" w:color="auto"/>
            <w:left w:val="none" w:sz="0" w:space="0" w:color="auto"/>
            <w:bottom w:val="none" w:sz="0" w:space="0" w:color="auto"/>
            <w:right w:val="none" w:sz="0" w:space="0" w:color="auto"/>
          </w:divBdr>
        </w:div>
        <w:div w:id="1049300877">
          <w:marLeft w:val="0"/>
          <w:marRight w:val="0"/>
          <w:marTop w:val="0"/>
          <w:marBottom w:val="0"/>
          <w:divBdr>
            <w:top w:val="none" w:sz="0" w:space="0" w:color="auto"/>
            <w:left w:val="none" w:sz="0" w:space="0" w:color="auto"/>
            <w:bottom w:val="none" w:sz="0" w:space="0" w:color="auto"/>
            <w:right w:val="none" w:sz="0" w:space="0" w:color="auto"/>
          </w:divBdr>
        </w:div>
        <w:div w:id="1068960849">
          <w:marLeft w:val="0"/>
          <w:marRight w:val="0"/>
          <w:marTop w:val="0"/>
          <w:marBottom w:val="0"/>
          <w:divBdr>
            <w:top w:val="none" w:sz="0" w:space="0" w:color="auto"/>
            <w:left w:val="none" w:sz="0" w:space="0" w:color="auto"/>
            <w:bottom w:val="none" w:sz="0" w:space="0" w:color="auto"/>
            <w:right w:val="none" w:sz="0" w:space="0" w:color="auto"/>
          </w:divBdr>
        </w:div>
        <w:div w:id="1201557117">
          <w:marLeft w:val="0"/>
          <w:marRight w:val="0"/>
          <w:marTop w:val="0"/>
          <w:marBottom w:val="0"/>
          <w:divBdr>
            <w:top w:val="none" w:sz="0" w:space="0" w:color="auto"/>
            <w:left w:val="none" w:sz="0" w:space="0" w:color="auto"/>
            <w:bottom w:val="none" w:sz="0" w:space="0" w:color="auto"/>
            <w:right w:val="none" w:sz="0" w:space="0" w:color="auto"/>
          </w:divBdr>
        </w:div>
        <w:div w:id="1369791870">
          <w:marLeft w:val="0"/>
          <w:marRight w:val="0"/>
          <w:marTop w:val="0"/>
          <w:marBottom w:val="0"/>
          <w:divBdr>
            <w:top w:val="none" w:sz="0" w:space="0" w:color="auto"/>
            <w:left w:val="none" w:sz="0" w:space="0" w:color="auto"/>
            <w:bottom w:val="none" w:sz="0" w:space="0" w:color="auto"/>
            <w:right w:val="none" w:sz="0" w:space="0" w:color="auto"/>
          </w:divBdr>
        </w:div>
        <w:div w:id="1429809262">
          <w:marLeft w:val="0"/>
          <w:marRight w:val="0"/>
          <w:marTop w:val="0"/>
          <w:marBottom w:val="0"/>
          <w:divBdr>
            <w:top w:val="none" w:sz="0" w:space="0" w:color="auto"/>
            <w:left w:val="none" w:sz="0" w:space="0" w:color="auto"/>
            <w:bottom w:val="none" w:sz="0" w:space="0" w:color="auto"/>
            <w:right w:val="none" w:sz="0" w:space="0" w:color="auto"/>
          </w:divBdr>
        </w:div>
        <w:div w:id="1452016297">
          <w:marLeft w:val="0"/>
          <w:marRight w:val="0"/>
          <w:marTop w:val="0"/>
          <w:marBottom w:val="0"/>
          <w:divBdr>
            <w:top w:val="none" w:sz="0" w:space="0" w:color="auto"/>
            <w:left w:val="none" w:sz="0" w:space="0" w:color="auto"/>
            <w:bottom w:val="none" w:sz="0" w:space="0" w:color="auto"/>
            <w:right w:val="none" w:sz="0" w:space="0" w:color="auto"/>
          </w:divBdr>
        </w:div>
        <w:div w:id="2060399027">
          <w:marLeft w:val="0"/>
          <w:marRight w:val="0"/>
          <w:marTop w:val="0"/>
          <w:marBottom w:val="0"/>
          <w:divBdr>
            <w:top w:val="none" w:sz="0" w:space="0" w:color="auto"/>
            <w:left w:val="none" w:sz="0" w:space="0" w:color="auto"/>
            <w:bottom w:val="none" w:sz="0" w:space="0" w:color="auto"/>
            <w:right w:val="none" w:sz="0" w:space="0" w:color="auto"/>
          </w:divBdr>
        </w:div>
        <w:div w:id="2097168617">
          <w:marLeft w:val="0"/>
          <w:marRight w:val="0"/>
          <w:marTop w:val="0"/>
          <w:marBottom w:val="0"/>
          <w:divBdr>
            <w:top w:val="none" w:sz="0" w:space="0" w:color="auto"/>
            <w:left w:val="none" w:sz="0" w:space="0" w:color="auto"/>
            <w:bottom w:val="none" w:sz="0" w:space="0" w:color="auto"/>
            <w:right w:val="none" w:sz="0" w:space="0" w:color="auto"/>
          </w:divBdr>
        </w:div>
      </w:divsChild>
    </w:div>
    <w:div w:id="2048676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mailto:Aeneas.tole@local.go.v.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caton\Local%20Settings\Temporary%20Internet%20Files\Content.MSO\209A5ACD.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618E5C7F9D9040A5AEFB7288B7574E" ma:contentTypeVersion="4" ma:contentTypeDescription="Create a new document." ma:contentTypeScope="" ma:versionID="5016c54474e6874afb4d334ad5ba639f">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F75ED-A61E-4C66-9A18-7F699DF7A6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FFF0F2-69C1-4D53-9622-19BC66378321}">
  <ds:schemaRefs>
    <ds:schemaRef ds:uri="http://schemas.microsoft.com/sharepoint/v3/contenttype/forms"/>
  </ds:schemaRefs>
</ds:datastoreItem>
</file>

<file path=customXml/itemProps3.xml><?xml version="1.0" encoding="utf-8"?>
<ds:datastoreItem xmlns:ds="http://schemas.openxmlformats.org/officeDocument/2006/customXml" ds:itemID="{8CD59EBE-AA18-46C9-828E-0A2BCE777250}">
  <ds:schemaRefs>
    <ds:schemaRef ds:uri="http://schemas.microsoft.com/office/2006/metadata/properties"/>
    <ds:schemaRef ds:uri="http://purl.org/dc/terms/"/>
    <ds:schemaRef ds:uri="1c8a0e75-f4bc-4eb4-8ed0-578eaea9e1ca"/>
    <ds:schemaRef ds:uri="http://purl.org/dc/elements/1.1/"/>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c8febe6a-14d9-43ab-83c3-c48f478fa47c"/>
    <ds:schemaRef ds:uri="http://purl.org/dc/dcmitype/"/>
  </ds:schemaRefs>
</ds:datastoreItem>
</file>

<file path=customXml/itemProps4.xml><?xml version="1.0" encoding="utf-8"?>
<ds:datastoreItem xmlns:ds="http://schemas.openxmlformats.org/officeDocument/2006/customXml" ds:itemID="{E7E5FADC-3670-498F-B672-547947A8D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209A5ACD.doc</Template>
  <TotalTime>39</TotalTime>
  <Pages>6</Pages>
  <Words>2387</Words>
  <Characters>12818</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Asset Graphics</Company>
  <LinksUpToDate>false</LinksUpToDate>
  <CharactersWithSpaces>15175</CharactersWithSpaces>
  <SharedDoc>false</SharedDoc>
  <HLinks>
    <vt:vector size="6" baseType="variant">
      <vt:variant>
        <vt:i4>4653101</vt:i4>
      </vt:variant>
      <vt:variant>
        <vt:i4>0</vt:i4>
      </vt:variant>
      <vt:variant>
        <vt:i4>0</vt:i4>
      </vt:variant>
      <vt:variant>
        <vt:i4>5</vt:i4>
      </vt:variant>
      <vt:variant>
        <vt:lpwstr>mailto:Aeneas.tole@local.go.v.uk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LGA Briefing</dc:subject>
  <dc:creator>laura.caton</dc:creator>
  <cp:lastModifiedBy>Frances Marshall</cp:lastModifiedBy>
  <cp:revision>20</cp:revision>
  <cp:lastPrinted>2016-11-21T14:32:00Z</cp:lastPrinted>
  <dcterms:created xsi:type="dcterms:W3CDTF">2016-11-22T09:24:00Z</dcterms:created>
  <dcterms:modified xsi:type="dcterms:W3CDTF">2016-11-28T12:44:00Z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IDEA</vt:lpwstr>
  </property>
  <property fmtid="{D5CDD505-2E9C-101B-9397-08002B2CF9AE}" pid="3" name="DC.Author">
    <vt:lpwstr>Julia White</vt:lpwstr>
  </property>
  <property fmtid="{D5CDD505-2E9C-101B-9397-08002B2CF9AE}" pid="4" name="DC.creator">
    <vt:lpwstr>Marketing</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ate.issued">
    <vt:lpwstr>2010-07-16T00:00:00Z</vt:lpwstr>
  </property>
  <property fmtid="{D5CDD505-2E9C-101B-9397-08002B2CF9AE}" pid="8" name="Date">
    <vt:lpwstr>2010-07-16T00:00:00Z</vt:lpwstr>
  </property>
  <property fmtid="{D5CDD505-2E9C-101B-9397-08002B2CF9AE}" pid="9" name="Move to Archive">
    <vt:lpwstr>Current</vt:lpwstr>
  </property>
  <property fmtid="{D5CDD505-2E9C-101B-9397-08002B2CF9AE}" pid="10" name="Status">
    <vt:lpwstr>[None]</vt:lpwstr>
  </property>
  <property fmtid="{D5CDD505-2E9C-101B-9397-08002B2CF9AE}" pid="11" name="Work area">
    <vt:lpwstr/>
  </property>
  <property fmtid="{D5CDD505-2E9C-101B-9397-08002B2CF9AE}" pid="12" name="DC.Description">
    <vt:lpwstr/>
  </property>
  <property fmtid="{D5CDD505-2E9C-101B-9397-08002B2CF9AE}" pid="13" name="DC.Type">
    <vt:lpwstr/>
  </property>
  <property fmtid="{D5CDD505-2E9C-101B-9397-08002B2CF9AE}" pid="14" name="e-GMS.subject.keyword">
    <vt:lpwstr/>
  </property>
  <property fmtid="{D5CDD505-2E9C-101B-9397-08002B2CF9AE}" pid="15" name="_DocHome">
    <vt:i4>808595520</vt:i4>
  </property>
  <property fmtid="{D5CDD505-2E9C-101B-9397-08002B2CF9AE}" pid="16" name="ContentTypeId">
    <vt:lpwstr>0x01010022618E5C7F9D9040A5AEFB7288B7574E</vt:lpwstr>
  </property>
</Properties>
</file>